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C7" w:rsidRDefault="00934B19">
      <w:pPr>
        <w:spacing w:after="0" w:line="360" w:lineRule="exact"/>
        <w:jc w:val="center"/>
        <w:rPr>
          <w:rFonts w:eastAsiaTheme="minorEastAsia"/>
          <w:b/>
          <w:color w:val="000000" w:themeColor="text1"/>
          <w:sz w:val="32"/>
          <w:szCs w:val="32"/>
          <w:lang w:eastAsia="zh-CN"/>
        </w:rPr>
      </w:pPr>
      <w:r>
        <w:rPr>
          <w:rFonts w:eastAsiaTheme="minorEastAsia" w:hint="eastAsia"/>
          <w:b/>
          <w:color w:val="000000" w:themeColor="text1"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TW"/>
        </w:rPr>
        <w:t>程序设计</w:t>
      </w:r>
      <w:r>
        <w:rPr>
          <w:rFonts w:hint="eastAsia"/>
          <w:b/>
          <w:sz w:val="32"/>
          <w:szCs w:val="32"/>
          <w:lang w:eastAsia="zh-TW"/>
        </w:rPr>
        <w:t>II</w:t>
      </w:r>
      <w:r>
        <w:rPr>
          <w:rFonts w:eastAsiaTheme="minorEastAsia" w:hint="eastAsia"/>
          <w:b/>
          <w:color w:val="000000" w:themeColor="text1"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328"/>
        <w:gridCol w:w="362"/>
        <w:gridCol w:w="623"/>
        <w:gridCol w:w="1608"/>
        <w:gridCol w:w="1508"/>
        <w:gridCol w:w="271"/>
        <w:gridCol w:w="1267"/>
        <w:gridCol w:w="56"/>
        <w:gridCol w:w="580"/>
        <w:gridCol w:w="1092"/>
      </w:tblGrid>
      <w:tr w:rsidR="00112AC7">
        <w:trPr>
          <w:trHeight w:val="340"/>
          <w:jc w:val="center"/>
        </w:trPr>
        <w:tc>
          <w:tcPr>
            <w:tcW w:w="4627" w:type="dxa"/>
            <w:gridSpan w:val="5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课程名称：程序设计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II</w:t>
            </w:r>
          </w:p>
        </w:tc>
        <w:tc>
          <w:tcPr>
            <w:tcW w:w="4774" w:type="dxa"/>
            <w:gridSpan w:val="6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选修）：必修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Programming II</w:t>
            </w:r>
          </w:p>
        </w:tc>
      </w:tr>
      <w:tr w:rsidR="00112AC7">
        <w:trPr>
          <w:trHeight w:val="340"/>
          <w:jc w:val="center"/>
        </w:trPr>
        <w:tc>
          <w:tcPr>
            <w:tcW w:w="4627" w:type="dxa"/>
            <w:gridSpan w:val="5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总学时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周学时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学分：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74" w:type="dxa"/>
            <w:gridSpan w:val="6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其中实验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实践学时：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24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先修课程：程序设计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I</w:t>
            </w:r>
          </w:p>
        </w:tc>
      </w:tr>
      <w:tr w:rsidR="00112AC7">
        <w:trPr>
          <w:trHeight w:val="340"/>
          <w:jc w:val="center"/>
        </w:trPr>
        <w:tc>
          <w:tcPr>
            <w:tcW w:w="4627" w:type="dxa"/>
            <w:gridSpan w:val="5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授课时间：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至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16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周，周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1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3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74" w:type="dxa"/>
            <w:gridSpan w:val="6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授课地点：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实验楼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606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授课对象：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20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级计算机科学与技术系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跨境电商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)1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班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职称：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时维宁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副教授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2.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课程考核方式：开卷（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闭卷（✔）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课程论文（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其它（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✔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使用教材：《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语言程序设计与数据结构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(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基础篇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)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原书第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11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版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中文版》，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[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美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]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梁勇（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Y. Daniel Liang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著，戴开宇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译，机械工业出版社。</w:t>
            </w:r>
          </w:p>
          <w:p w:rsidR="00112AC7" w:rsidRDefault="00934B19">
            <w:pPr>
              <w:spacing w:after="0" w:line="360" w:lineRule="exact"/>
              <w:jc w:val="lef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从入门到精通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第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4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版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)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、最新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8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程序语言、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语言程序设计、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各精品资源共享课网站。</w:t>
            </w:r>
          </w:p>
          <w:p w:rsidR="00112AC7" w:rsidRDefault="00934B19">
            <w:pPr>
              <w:spacing w:after="0" w:line="360" w:lineRule="exact"/>
              <w:jc w:val="lef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线上：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優學院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教学课件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https://www.ulearning.cn/portal/index.html#/index/portal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 xml:space="preserve"> 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班級編碼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: 61273529</w:t>
            </w:r>
            <w:bookmarkStart w:id="0" w:name="_GoBack"/>
            <w:bookmarkEnd w:id="0"/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)</w:t>
            </w:r>
          </w:p>
          <w:p w:rsidR="00112AC7" w:rsidRDefault="00934B19">
            <w:pPr>
              <w:spacing w:after="0" w:line="360" w:lineRule="exact"/>
              <w:jc w:val="lef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騰訊会议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: ID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：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641 6478 9329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。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课程简介：</w:t>
            </w:r>
          </w:p>
          <w:p w:rsidR="00112AC7" w:rsidRDefault="00934B19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课程的目的在训练学生使用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程序语言来设计程序，及训练学生基础逻辑能力。知识：介绍及使学生熟悉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基础语法。技能：使学生能够利用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语法撰写程序。态度：培养学生主动查询相关语法的学习态度。</w:t>
            </w:r>
          </w:p>
        </w:tc>
      </w:tr>
      <w:tr w:rsidR="00112AC7">
        <w:trPr>
          <w:trHeight w:val="2920"/>
          <w:jc w:val="center"/>
        </w:trPr>
        <w:tc>
          <w:tcPr>
            <w:tcW w:w="6135" w:type="dxa"/>
            <w:gridSpan w:val="6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课程教学目标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一、知识目标：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让学生习得计算机语言的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进阶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知识。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让学生习得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进阶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知识。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让学生了解程序流程的控制。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让学生学得数组及方法的使用。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学生可以设计程序解决问题。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了解对象为主的程序设计。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设计面向对象为主的程序。</w:t>
            </w:r>
          </w:p>
          <w:p w:rsidR="00112AC7" w:rsidRDefault="00934B19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设计图形化的程序。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二、能力目标：</w:t>
            </w:r>
          </w:p>
          <w:p w:rsidR="00112AC7" w:rsidRDefault="00934B19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培养学生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以程序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分析问题的能力。</w:t>
            </w:r>
          </w:p>
          <w:p w:rsidR="00112AC7" w:rsidRDefault="00934B19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360" w:lineRule="exact"/>
              <w:ind w:left="845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培养学生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以程序解决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问题的能力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.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三、素质目标：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ind w:leftChars="174" w:left="720" w:hangingChars="144" w:hanging="302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培养学生具有主动参与、积极进取、崇尚科学、探究科学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的学习态度和思想意识；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ind w:leftChars="174" w:left="720" w:hangingChars="144" w:hanging="302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3266" w:type="dxa"/>
            <w:gridSpan w:val="5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☑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（交叉知识的运用能力）：具有运用数学、基础科学及计算机科学与技术相关知识的能力；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☑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实验与数据解读能力）：具有计算机软件开发与数据搜寻分析解释的能力；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☑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（技术工具的应用能力）具有计算器软件工程技术应用、数据搜集分析应用跨境电商运营知识与技能、及大数据技术的专业所需的技术、技能和使用软硬件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辅助工具的能力；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☑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计科与大数据分析专业能力）：具有编程设计能力并能应用计算器与数据分析科技来辅助、及大数据技术分析，促进跨境电商运营的能力；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☑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（项目管理与团队合作能力）具有项目管理、有效沟通、领域整合与团队合作的能力；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☑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解决复杂问题的能力）：具有运用计算机科学与技术理论及应用知识，整合计算机应用技术、数据分析应用及跨境电商运营专业，解决相关问题和进行研发或创新的能力；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☑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．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持续学习与创新超越能力）：具有应对计算器科学与技术快速变迁的能力，培养自我持续学习的习惯与能力，了解所学专业技术对环境、社会及全球的影响，并在学习中敢于创新超越；</w:t>
            </w:r>
          </w:p>
          <w:p w:rsidR="00112AC7" w:rsidRDefault="00934B1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="SimSun" w:hint="eastAsia"/>
                <w:bCs/>
                <w:sz w:val="21"/>
                <w:szCs w:val="21"/>
                <w:lang w:eastAsia="zh-TW"/>
              </w:rPr>
              <w:t>□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核心能力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．（专业伦理、社会责任与国际视野）：具有理解职业道德、工程专业伦理、认知社会责任、国际观以及开拓全球视野及尊重多元观点的能力。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12AC7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90" w:type="dxa"/>
            <w:gridSpan w:val="2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387" w:type="dxa"/>
            <w:gridSpan w:val="3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教学方式</w:t>
            </w:r>
          </w:p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（线上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线下）</w:t>
            </w:r>
          </w:p>
        </w:tc>
        <w:tc>
          <w:tcPr>
            <w:tcW w:w="636" w:type="dxa"/>
            <w:gridSpan w:val="2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教学手段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作业安排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adjustRightInd w:val="0"/>
              <w:snapToGrid w:val="0"/>
              <w:spacing w:line="288" w:lineRule="auto"/>
              <w:ind w:left="34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复习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计算机语言的基础知识。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语言的特点、搭建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开发平台、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程序的执行过程、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开发环境。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搭建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开发平台的建立、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程序的执行过程、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开发环境的搭建。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课程思政融入点：复习计算机语言的基础知识，培养实事求是的科学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lastRenderedPageBreak/>
              <w:t>线上：优学院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/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小组讨论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/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报告</w:t>
            </w:r>
          </w:p>
          <w:p w:rsidR="00112AC7" w:rsidRDefault="00112AC7">
            <w:pPr>
              <w:spacing w:line="0" w:lineRule="atLeas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搭建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开发平台、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程序的执行过程、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开发环境。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adjustRightInd w:val="0"/>
              <w:snapToGrid w:val="0"/>
              <w:spacing w:line="288" w:lineRule="auto"/>
              <w:ind w:left="34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介紹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的基础知识。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语言中的数据类型、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语言中的表示式及运算符、数据类型转换。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表示式及运算符的使用规则、不同的数据类型转换。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复习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的基础知识，培养实事求是的科学态度和职业道德。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讲授、习题、实验、讨论</w:t>
            </w:r>
          </w:p>
          <w:p w:rsidR="00112AC7" w:rsidRDefault="00112AC7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表示式及运算符的使用规则、不同的数据类型转换。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adjustRightInd w:val="0"/>
              <w:snapToGrid w:val="0"/>
              <w:spacing w:line="288" w:lineRule="auto"/>
              <w:ind w:left="34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复习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程序流程的控制。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三种基本的流程控制结构、常用的跳转语句、三种基本的程序控制结构、常用的跳转语句。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三种基本的流程控制结构的语法规则、使用方法。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课程思政融入点：复习程序流程的控制，培养实事求是的科学态度和职业道德。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讲授、习题、实验、讨论</w:t>
            </w:r>
          </w:p>
          <w:p w:rsidR="00112AC7" w:rsidRDefault="00112AC7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流程控制结构的使用方法。</w:t>
            </w:r>
          </w:p>
          <w:p w:rsidR="00112AC7" w:rsidRDefault="00112AC7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adjustRightInd w:val="0"/>
              <w:snapToGrid w:val="0"/>
              <w:spacing w:line="288" w:lineRule="auto"/>
              <w:ind w:left="34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复习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数组及方法的使用。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方法的声明、方法调用、递回。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方法的声明与调用、递回方法的使用。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课程思政融入点：复习数组及方法的使用，培养实事求是的科学态度和职业道德。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  <w:p w:rsidR="00112AC7" w:rsidRDefault="00112AC7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方法的声明与调用、递回方法的使用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adjustRightInd w:val="0"/>
              <w:snapToGrid w:val="0"/>
              <w:spacing w:line="288" w:lineRule="auto"/>
              <w:ind w:left="34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討論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程序设计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如何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解决问题。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一维数组的定义及使用、二维数组的使用、数组放入基本操作、字符串。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二维数组的应用、字符串与字符数组的使用。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训练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学生可以设计程序解决问题，培养实事求是的科学态度和职业道德。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  <w:p w:rsidR="00112AC7" w:rsidRDefault="00112AC7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二维数组的应用、字符串与字符数组的使用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adjustRightInd w:val="0"/>
              <w:snapToGrid w:val="0"/>
              <w:spacing w:line="288" w:lineRule="auto"/>
              <w:ind w:left="34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了解对象为主的程序设计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类和对象、类的成员属性、方法的修饰符。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类和对象的概念与定义、类的成员变量和成员方法，一些常用的修饰符。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课程思政融入点：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使学生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了解对象为主的程序设计，培养实事求是的科学态度和职业道德。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lastRenderedPageBreak/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讲授、习题、实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lastRenderedPageBreak/>
              <w:t>验、讨论</w:t>
            </w:r>
          </w:p>
          <w:p w:rsidR="00112AC7" w:rsidRDefault="00112AC7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lastRenderedPageBreak/>
              <w:t>类和对象的概念与定义、类的成员变量和成员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lastRenderedPageBreak/>
              <w:t>方法，一些常用的修饰符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继承、抽象类和接口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类的封装、多态机制、类的继承。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面向对象的三大技术特征：封装、多态与继承。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课程思政融入点：介绍继承、抽象类和接口，培养实事求是的科学态度和职业道德。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面向对象的三大技术特征：封装、多态与继承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异常处理的基本概念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异常的产生和处理、自定义异常。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异常的处理机制、自定义异常。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课程思政融入点：介绍异常处理的基本概念，培养实事求是的科学态度和职业道德。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异常的处理机制、自定义异常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期中总结与复习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期中总结与复习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期中考试、习题、实验、讨论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要求学生：课堂完成</w:t>
            </w:r>
            <w:proofErr w:type="spellEnd"/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考试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，</w:t>
            </w:r>
            <w:proofErr w:type="spellStart"/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并积极讨论解决疑问</w:t>
            </w:r>
            <w:proofErr w:type="spellEnd"/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语言的输入输出与文件处理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输入输出流的操作方法、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中相关的操作类、文件的读写、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输入输出流的操作方法、文件的读写。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语言的输入输出与文件处理，培养实事求是的科学态度和职业道德。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讲授、习题、实验、讨论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输入输出流的操作方法、文件的读写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多线程的概念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的线程类、多线程操作与编程。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多线程的使用与编程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课程思政融入点：介绍多线程的概念，培养实事求是的科学态度和职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lastRenderedPageBreak/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讲授、习题、实验、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lastRenderedPageBreak/>
              <w:t>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lastRenderedPageBreak/>
              <w:t>多线程的使用与编程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图形界面设计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AWT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图形编程、容器的概念。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使用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AWT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组件进行图形用户界面的编程设计。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课程思政融入点：介绍图形界面设计，培养实事求是的科学态度和职业道德。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讲授、习题、实验、讨论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使用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AWT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组件进行图形用户界面的编程设计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绘图程序设计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Swing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图形编程、布局管理、事件处理模型、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Swing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图形控件。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事件处理模型，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Swing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图形编程及所使用的类。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课程思政融入点：介绍绘图程序设计，培养实事求是的科学态度和职业道德。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线下教学：课堂讲授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事件处理模型，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Swing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图形编程及所使用的类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接口和包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抽象类与抽象方法、接口、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抽象类与抽象方法的定义与使用、接口的定义与使用。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课程思政融入点：介绍绘图程序设计，培养实事求是的科学态度和职业道德。</w:t>
            </w: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线下教学：课堂讲授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抽象类与抽象方法的定义与使用、接口的定义与使用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pStyle w:val="aa"/>
              <w:spacing w:line="0" w:lineRule="atLeast"/>
              <w:ind w:firstLineChars="0" w:firstLine="0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小程序设计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Applet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程序、网页标记、应用程序与小应用程序。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Applet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程序与网页标记，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Applet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程序的编写及运行。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课程思政融入点：介绍小程序设计，培养实事求是的科学态度和职业道德。</w:t>
            </w:r>
          </w:p>
          <w:p w:rsidR="00112AC7" w:rsidRDefault="00112AC7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线下教学：课堂讲授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Applet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程序与网页标记，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Applet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程序的编写及运行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网络编程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网络编程的原理与步骤、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Socket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通信。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网络编程。</w:t>
            </w:r>
          </w:p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网络编程设计，培养实事求是的科学态度和职业道德。</w:t>
            </w:r>
          </w:p>
          <w:p w:rsidR="00112AC7" w:rsidRDefault="00112AC7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线上：优学院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资源平台、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QQ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及腾讯会议直播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TW"/>
              </w:rPr>
              <w:t>)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线下教学：课堂讲授</w:t>
            </w:r>
          </w:p>
        </w:tc>
        <w:tc>
          <w:tcPr>
            <w:tcW w:w="636" w:type="dxa"/>
            <w:gridSpan w:val="2"/>
            <w:vAlign w:val="center"/>
          </w:tcPr>
          <w:p w:rsidR="00112AC7" w:rsidRDefault="00934B19">
            <w:pPr>
              <w:jc w:val="center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讲授、习题、讨论</w:t>
            </w:r>
          </w:p>
        </w:tc>
        <w:tc>
          <w:tcPr>
            <w:tcW w:w="1092" w:type="dxa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网络编程</w:t>
            </w:r>
          </w:p>
        </w:tc>
      </w:tr>
      <w:tr w:rsidR="00112AC7">
        <w:trPr>
          <w:trHeight w:val="340"/>
          <w:jc w:val="center"/>
        </w:trPr>
        <w:tc>
          <w:tcPr>
            <w:tcW w:w="2396" w:type="dxa"/>
            <w:gridSpan w:val="3"/>
            <w:tcBorders>
              <w:top w:val="single" w:sz="4" w:space="0" w:color="auto"/>
            </w:tcBorders>
            <w:vAlign w:val="center"/>
          </w:tcPr>
          <w:p w:rsidR="00112AC7" w:rsidRDefault="00934B19">
            <w:pPr>
              <w:spacing w:after="0" w:line="360" w:lineRule="exact"/>
              <w:jc w:val="righ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</w:tcBorders>
            <w:vAlign w:val="center"/>
          </w:tcPr>
          <w:p w:rsidR="00112AC7" w:rsidRDefault="00112AC7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112AC7" w:rsidRDefault="00112AC7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center"/>
          </w:tcPr>
          <w:p w:rsidR="00112AC7" w:rsidRDefault="00112AC7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112AC7" w:rsidRDefault="00112AC7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实践教学进程表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90" w:type="dxa"/>
            <w:gridSpan w:val="2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387" w:type="dxa"/>
            <w:gridSpan w:val="3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267" w:type="dxa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综合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728" w:type="dxa"/>
            <w:gridSpan w:val="3"/>
            <w:tcMar>
              <w:left w:w="28" w:type="dxa"/>
              <w:right w:w="28" w:type="dxa"/>
            </w:tcMar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</w:p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手段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开发环境。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line="0" w:lineRule="atLeas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搭建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开发平台的建立、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程序的执行过程、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Java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开发环境的搭建。</w:t>
            </w:r>
          </w:p>
          <w:p w:rsidR="00112AC7" w:rsidRDefault="00112AC7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1728" w:type="dxa"/>
            <w:gridSpan w:val="3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讨论与上机练习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基础与基本控制结构。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line="0" w:lineRule="atLeas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流程控制结构的语法规则、使用方法。</w:t>
            </w:r>
          </w:p>
          <w:p w:rsidR="00112AC7" w:rsidRDefault="00112AC7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1728" w:type="dxa"/>
            <w:gridSpan w:val="3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讨论与上机练习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line="0" w:lineRule="atLeas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5-7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JAVA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面向对象编程基础。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line="0" w:lineRule="atLeas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面向对象的三大技术特征：封装、多态与继承。</w:t>
            </w:r>
          </w:p>
          <w:p w:rsidR="00112AC7" w:rsidRDefault="00112AC7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1728" w:type="dxa"/>
            <w:gridSpan w:val="3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讨论与上机练习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line="0" w:lineRule="atLeas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9-12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输入和输出。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line="0" w:lineRule="atLeas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输入输出流的操作方法、文件的读写。</w:t>
            </w:r>
          </w:p>
          <w:p w:rsidR="00112AC7" w:rsidRDefault="00112AC7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1728" w:type="dxa"/>
            <w:gridSpan w:val="3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讨论与上机练习</w:t>
            </w:r>
          </w:p>
        </w:tc>
      </w:tr>
      <w:tr w:rsidR="00112AC7">
        <w:trPr>
          <w:trHeight w:val="340"/>
          <w:jc w:val="center"/>
        </w:trPr>
        <w:tc>
          <w:tcPr>
            <w:tcW w:w="706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14-15</w:t>
            </w:r>
          </w:p>
        </w:tc>
        <w:tc>
          <w:tcPr>
            <w:tcW w:w="1690" w:type="dxa"/>
            <w:gridSpan w:val="2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用户图形界面设计。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line="0" w:lineRule="atLeas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934B19">
            <w:pPr>
              <w:rPr>
                <w:rFonts w:eastAsiaTheme="minorEastAsia"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使用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AWT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组件进行图形用户界面的编程设计。</w:t>
            </w:r>
          </w:p>
          <w:p w:rsidR="00112AC7" w:rsidRDefault="00112AC7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67" w:type="dxa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 w:cstheme="minorEastAsia" w:hint="eastAsia"/>
                <w:bCs/>
                <w:sz w:val="21"/>
                <w:szCs w:val="21"/>
              </w:rPr>
              <w:t>综合</w:t>
            </w:r>
            <w:proofErr w:type="spellEnd"/>
          </w:p>
        </w:tc>
        <w:tc>
          <w:tcPr>
            <w:tcW w:w="1728" w:type="dxa"/>
            <w:gridSpan w:val="3"/>
            <w:vAlign w:val="center"/>
          </w:tcPr>
          <w:p w:rsidR="00112AC7" w:rsidRDefault="00934B19">
            <w:pPr>
              <w:spacing w:line="0" w:lineRule="atLeas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TW"/>
              </w:rPr>
              <w:t>讨论与上机练习</w:t>
            </w:r>
          </w:p>
        </w:tc>
      </w:tr>
      <w:tr w:rsidR="00112AC7">
        <w:trPr>
          <w:trHeight w:val="340"/>
          <w:jc w:val="center"/>
        </w:trPr>
        <w:tc>
          <w:tcPr>
            <w:tcW w:w="2396" w:type="dxa"/>
            <w:gridSpan w:val="3"/>
            <w:vAlign w:val="center"/>
          </w:tcPr>
          <w:p w:rsidR="00112AC7" w:rsidRDefault="00934B19">
            <w:pPr>
              <w:spacing w:after="0" w:line="360" w:lineRule="exact"/>
              <w:jc w:val="righ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387" w:type="dxa"/>
            <w:gridSpan w:val="3"/>
            <w:vAlign w:val="center"/>
          </w:tcPr>
          <w:p w:rsidR="00112AC7" w:rsidRDefault="00112AC7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112AC7" w:rsidRDefault="00112AC7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112AC7" w:rsidRDefault="00112AC7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考核方法及标准</w:t>
            </w:r>
          </w:p>
        </w:tc>
      </w:tr>
      <w:tr w:rsidR="00112AC7">
        <w:trPr>
          <w:trHeight w:val="340"/>
          <w:jc w:val="center"/>
        </w:trPr>
        <w:tc>
          <w:tcPr>
            <w:tcW w:w="2034" w:type="dxa"/>
            <w:gridSpan w:val="2"/>
            <w:vAlign w:val="center"/>
          </w:tcPr>
          <w:p w:rsidR="00112AC7" w:rsidRDefault="00934B19">
            <w:pPr>
              <w:snapToGrid w:val="0"/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95" w:type="dxa"/>
            <w:gridSpan w:val="7"/>
            <w:vAlign w:val="center"/>
          </w:tcPr>
          <w:p w:rsidR="00112AC7" w:rsidRDefault="00934B19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672" w:type="dxa"/>
            <w:gridSpan w:val="2"/>
            <w:vAlign w:val="center"/>
          </w:tcPr>
          <w:p w:rsidR="00112AC7" w:rsidRDefault="00934B19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权重</w:t>
            </w:r>
          </w:p>
        </w:tc>
      </w:tr>
      <w:tr w:rsidR="00112AC7">
        <w:trPr>
          <w:trHeight w:val="340"/>
          <w:jc w:val="center"/>
        </w:trPr>
        <w:tc>
          <w:tcPr>
            <w:tcW w:w="2034" w:type="dxa"/>
            <w:gridSpan w:val="2"/>
            <w:vAlign w:val="center"/>
          </w:tcPr>
          <w:p w:rsidR="00112AC7" w:rsidRDefault="00934B19">
            <w:pPr>
              <w:snapToGrid w:val="0"/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695" w:type="dxa"/>
            <w:gridSpan w:val="7"/>
            <w:vAlign w:val="center"/>
          </w:tcPr>
          <w:p w:rsidR="00112AC7" w:rsidRDefault="00934B19">
            <w:pPr>
              <w:spacing w:after="0" w:line="360" w:lineRule="exact"/>
              <w:jc w:val="lef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出勤状况</w:t>
            </w:r>
          </w:p>
          <w:p w:rsidR="00112AC7" w:rsidRDefault="00934B19">
            <w:pPr>
              <w:spacing w:after="0" w:line="360" w:lineRule="exact"/>
              <w:jc w:val="lef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:rsidR="00112AC7" w:rsidRDefault="00934B19">
            <w:pPr>
              <w:snapToGrid w:val="0"/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要求：无故旷课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次扣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分，迟到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次扣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分，缺席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次取消参加期末考试的资格。</w:t>
            </w:r>
          </w:p>
          <w:p w:rsidR="00112AC7" w:rsidRDefault="00934B19">
            <w:pPr>
              <w:spacing w:after="0" w:line="360" w:lineRule="exact"/>
              <w:jc w:val="lef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线上教学课堂表现</w:t>
            </w:r>
          </w:p>
          <w:p w:rsidR="00112AC7" w:rsidRDefault="00934B19">
            <w:pPr>
              <w:spacing w:after="0" w:line="360" w:lineRule="exact"/>
              <w:jc w:val="lef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评价标准：参与优学院学习参与成绩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课堂程度及随堂测验。</w:t>
            </w:r>
          </w:p>
          <w:p w:rsidR="00112AC7" w:rsidRDefault="00934B19">
            <w:pPr>
              <w:snapToGrid w:val="0"/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要求：参与课堂程度高。</w:t>
            </w:r>
          </w:p>
          <w:p w:rsidR="00112AC7" w:rsidRDefault="00934B19">
            <w:pPr>
              <w:spacing w:after="0" w:line="360" w:lineRule="exact"/>
              <w:jc w:val="left"/>
              <w:rPr>
                <w:rFonts w:cstheme="minorEastAsia"/>
                <w:bCs/>
                <w:sz w:val="21"/>
                <w:szCs w:val="21"/>
                <w:lang w:eastAsia="zh-TW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平时作业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與期末作品</w:t>
            </w:r>
          </w:p>
          <w:p w:rsidR="00112AC7" w:rsidRDefault="00934B19">
            <w:pPr>
              <w:numPr>
                <w:ilvl w:val="0"/>
                <w:numId w:val="3"/>
              </w:numPr>
              <w:spacing w:after="0" w:line="360" w:lineRule="exact"/>
              <w:jc w:val="left"/>
              <w:rPr>
                <w:rFonts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评价标准：按照作业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與作品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完成情况评分。</w:t>
            </w:r>
          </w:p>
          <w:p w:rsidR="00112AC7" w:rsidRDefault="00934B19">
            <w:pPr>
              <w:snapToGrid w:val="0"/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要求：按时作业，作业</w:t>
            </w:r>
            <w:r>
              <w:rPr>
                <w:rFonts w:cstheme="minorEastAsia" w:hint="eastAsia"/>
                <w:bCs/>
                <w:sz w:val="21"/>
                <w:szCs w:val="21"/>
                <w:lang w:eastAsia="zh-TW"/>
              </w:rPr>
              <w:t>與作品</w:t>
            </w:r>
            <w:r>
              <w:rPr>
                <w:rFonts w:eastAsiaTheme="minorEastAsia" w:cstheme="minorEastAsia" w:hint="eastAsia"/>
                <w:bCs/>
                <w:sz w:val="21"/>
                <w:szCs w:val="21"/>
                <w:lang w:eastAsia="zh-CN"/>
              </w:rPr>
              <w:t>工整规范。</w:t>
            </w:r>
          </w:p>
        </w:tc>
        <w:tc>
          <w:tcPr>
            <w:tcW w:w="1672" w:type="dxa"/>
            <w:gridSpan w:val="2"/>
            <w:vAlign w:val="center"/>
          </w:tcPr>
          <w:p w:rsidR="00112AC7" w:rsidRDefault="00934B19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40%</w:t>
            </w:r>
          </w:p>
        </w:tc>
      </w:tr>
      <w:tr w:rsidR="00112AC7">
        <w:trPr>
          <w:trHeight w:val="340"/>
          <w:jc w:val="center"/>
        </w:trPr>
        <w:tc>
          <w:tcPr>
            <w:tcW w:w="2034" w:type="dxa"/>
            <w:gridSpan w:val="2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期中考试</w:t>
            </w:r>
          </w:p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95" w:type="dxa"/>
            <w:gridSpan w:val="7"/>
            <w:vAlign w:val="center"/>
          </w:tcPr>
          <w:p w:rsidR="00112AC7" w:rsidRDefault="00934B19">
            <w:pPr>
              <w:spacing w:after="0" w:line="360" w:lineRule="exact"/>
              <w:jc w:val="lef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要求：能灵活运用所学知识和方法进行求解，独立、按时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完成考试。若发现任何考试作弊行为，试卷一律按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0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672" w:type="dxa"/>
            <w:gridSpan w:val="2"/>
            <w:vAlign w:val="center"/>
          </w:tcPr>
          <w:p w:rsidR="00112AC7" w:rsidRDefault="00934B19">
            <w:pPr>
              <w:spacing w:after="0" w:line="360" w:lineRule="exact"/>
              <w:ind w:left="180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30%</w:t>
            </w:r>
          </w:p>
        </w:tc>
      </w:tr>
      <w:tr w:rsidR="00112AC7">
        <w:trPr>
          <w:trHeight w:val="340"/>
          <w:jc w:val="center"/>
        </w:trPr>
        <w:tc>
          <w:tcPr>
            <w:tcW w:w="2034" w:type="dxa"/>
            <w:gridSpan w:val="2"/>
            <w:vAlign w:val="center"/>
          </w:tcPr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期末考试</w:t>
            </w:r>
          </w:p>
          <w:p w:rsidR="00112AC7" w:rsidRDefault="00934B19">
            <w:pPr>
              <w:spacing w:after="0" w:line="360" w:lineRule="exact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95" w:type="dxa"/>
            <w:gridSpan w:val="7"/>
            <w:vAlign w:val="center"/>
          </w:tcPr>
          <w:p w:rsidR="00112AC7" w:rsidRDefault="00934B19">
            <w:pPr>
              <w:spacing w:after="0" w:line="360" w:lineRule="exact"/>
              <w:jc w:val="lef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112AC7" w:rsidRDefault="00934B19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要求：能灵活运用所学知识和方法进行求解，独立、按时完成考试。</w:t>
            </w:r>
          </w:p>
        </w:tc>
        <w:tc>
          <w:tcPr>
            <w:tcW w:w="1672" w:type="dxa"/>
            <w:gridSpan w:val="2"/>
            <w:vAlign w:val="center"/>
          </w:tcPr>
          <w:p w:rsidR="00112AC7" w:rsidRDefault="00934B19">
            <w:pPr>
              <w:spacing w:after="0" w:line="360" w:lineRule="exact"/>
              <w:ind w:left="180"/>
              <w:jc w:val="center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30%</w:t>
            </w:r>
          </w:p>
        </w:tc>
      </w:tr>
      <w:tr w:rsidR="00112AC7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112AC7" w:rsidRDefault="00934B19">
            <w:pPr>
              <w:snapToGrid w:val="0"/>
              <w:spacing w:after="0" w:line="360" w:lineRule="exact"/>
              <w:ind w:left="18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202</w:t>
            </w:r>
            <w:r>
              <w:rPr>
                <w:rFonts w:cstheme="minorEastAsia" w:hint="eastAsia"/>
                <w:bCs/>
                <w:color w:val="000000" w:themeColor="text1"/>
                <w:sz w:val="21"/>
                <w:szCs w:val="21"/>
                <w:lang w:eastAsia="zh-TW"/>
              </w:rPr>
              <w:t>1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年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月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14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日</w:t>
            </w:r>
          </w:p>
        </w:tc>
      </w:tr>
      <w:tr w:rsidR="00112AC7">
        <w:trPr>
          <w:trHeight w:val="2351"/>
          <w:jc w:val="center"/>
        </w:trPr>
        <w:tc>
          <w:tcPr>
            <w:tcW w:w="9401" w:type="dxa"/>
            <w:gridSpan w:val="11"/>
          </w:tcPr>
          <w:p w:rsidR="00112AC7" w:rsidRDefault="00934B19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系（部）审查意见：</w:t>
            </w:r>
            <w:r w:rsidR="000C0CBB"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同意</w:t>
            </w:r>
          </w:p>
          <w:p w:rsidR="00112AC7" w:rsidRDefault="00112AC7" w:rsidP="000C0CBB">
            <w:pPr>
              <w:spacing w:after="0" w:line="360" w:lineRule="exact"/>
              <w:ind w:firstLineChars="27" w:firstLine="57"/>
              <w:jc w:val="lef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112AC7" w:rsidRDefault="00AF4169">
            <w:pPr>
              <w:spacing w:after="0" w:line="360" w:lineRule="exac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/>
                <w:bCs/>
                <w:noProof/>
                <w:color w:val="000000" w:themeColor="text1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4875766</wp:posOffset>
                  </wp:positionH>
                  <wp:positionV relativeFrom="paragraph">
                    <wp:posOffset>213832</wp:posOffset>
                  </wp:positionV>
                  <wp:extent cx="1012308" cy="478465"/>
                  <wp:effectExtent l="19050" t="0" r="0" b="0"/>
                  <wp:wrapNone/>
                  <wp:docPr id="1" name="图片 1" descr="C:\Users\ADMINI~1\AppData\Local\Temp\161450225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1450225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08" cy="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2AC7" w:rsidRDefault="00112AC7">
            <w:pPr>
              <w:spacing w:after="0" w:line="360" w:lineRule="exact"/>
              <w:ind w:right="42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AF4169" w:rsidRDefault="00934B19" w:rsidP="00AF4169">
            <w:pPr>
              <w:spacing w:after="0"/>
              <w:ind w:right="840" w:firstLineChars="2750" w:firstLine="5775"/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                      </w:t>
            </w:r>
          </w:p>
          <w:p w:rsidR="00112AC7" w:rsidRDefault="00934B19">
            <w:pPr>
              <w:spacing w:after="0"/>
              <w:ind w:right="420"/>
              <w:jc w:val="right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日期：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C0CBB"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2021</w:t>
            </w:r>
            <w:r w:rsidR="00B852C0"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B852C0"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C0CBB"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月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C0CBB"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28</w:t>
            </w:r>
            <w:r w:rsidR="00B852C0"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cs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日</w:t>
            </w:r>
          </w:p>
          <w:p w:rsidR="00112AC7" w:rsidRDefault="00112AC7">
            <w:pPr>
              <w:snapToGrid w:val="0"/>
              <w:spacing w:after="0" w:line="360" w:lineRule="exact"/>
              <w:ind w:left="180"/>
              <w:rPr>
                <w:rFonts w:eastAsiaTheme="minorEastAsia" w:cs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:rsidR="00112AC7" w:rsidRDefault="00112AC7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0000" w:themeColor="text1"/>
          <w:sz w:val="21"/>
          <w:szCs w:val="21"/>
          <w:lang w:eastAsia="zh-CN"/>
        </w:rPr>
      </w:pPr>
    </w:p>
    <w:sectPr w:rsidR="00112AC7" w:rsidSect="00112AC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4E" w:rsidRDefault="00EE4D4E" w:rsidP="000C0CBB">
      <w:pPr>
        <w:spacing w:after="0"/>
      </w:pPr>
      <w:r>
        <w:separator/>
      </w:r>
    </w:p>
  </w:endnote>
  <w:endnote w:type="continuationSeparator" w:id="0">
    <w:p w:rsidR="00EE4D4E" w:rsidRDefault="00EE4D4E" w:rsidP="000C0C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4E" w:rsidRDefault="00EE4D4E" w:rsidP="000C0CBB">
      <w:pPr>
        <w:spacing w:after="0"/>
      </w:pPr>
      <w:r>
        <w:separator/>
      </w:r>
    </w:p>
  </w:footnote>
  <w:footnote w:type="continuationSeparator" w:id="0">
    <w:p w:rsidR="00EE4D4E" w:rsidRDefault="00EE4D4E" w:rsidP="000C0C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5D8E1"/>
    <w:multiLevelType w:val="singleLevel"/>
    <w:tmpl w:val="D385D8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5DA51AA"/>
    <w:multiLevelType w:val="singleLevel"/>
    <w:tmpl w:val="25DA5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58508B7"/>
    <w:multiLevelType w:val="singleLevel"/>
    <w:tmpl w:val="458508B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00001AFD"/>
    <w:rsid w:val="000041EE"/>
    <w:rsid w:val="00057CB9"/>
    <w:rsid w:val="00061F27"/>
    <w:rsid w:val="0006698D"/>
    <w:rsid w:val="00074B8E"/>
    <w:rsid w:val="00076A3E"/>
    <w:rsid w:val="00087B74"/>
    <w:rsid w:val="000B626E"/>
    <w:rsid w:val="000C0CBB"/>
    <w:rsid w:val="000C2D4A"/>
    <w:rsid w:val="000E0AE8"/>
    <w:rsid w:val="00112AC7"/>
    <w:rsid w:val="00113022"/>
    <w:rsid w:val="00155E5A"/>
    <w:rsid w:val="00171228"/>
    <w:rsid w:val="001A2036"/>
    <w:rsid w:val="001B27A2"/>
    <w:rsid w:val="001B31E9"/>
    <w:rsid w:val="001D1290"/>
    <w:rsid w:val="001D28E8"/>
    <w:rsid w:val="001F20BC"/>
    <w:rsid w:val="002111AE"/>
    <w:rsid w:val="00224B91"/>
    <w:rsid w:val="00227119"/>
    <w:rsid w:val="002422D9"/>
    <w:rsid w:val="00295970"/>
    <w:rsid w:val="002C0D8F"/>
    <w:rsid w:val="002E27E1"/>
    <w:rsid w:val="002F0A73"/>
    <w:rsid w:val="003012E7"/>
    <w:rsid w:val="003044FA"/>
    <w:rsid w:val="003403E2"/>
    <w:rsid w:val="0037561C"/>
    <w:rsid w:val="00393DB9"/>
    <w:rsid w:val="003C66D8"/>
    <w:rsid w:val="003E2BAB"/>
    <w:rsid w:val="003E66A6"/>
    <w:rsid w:val="00414FC8"/>
    <w:rsid w:val="00457E42"/>
    <w:rsid w:val="004835AB"/>
    <w:rsid w:val="004B3994"/>
    <w:rsid w:val="004B7C67"/>
    <w:rsid w:val="004D29DE"/>
    <w:rsid w:val="004E0481"/>
    <w:rsid w:val="004E7804"/>
    <w:rsid w:val="005348E5"/>
    <w:rsid w:val="00560ED1"/>
    <w:rsid w:val="005639AB"/>
    <w:rsid w:val="005805E8"/>
    <w:rsid w:val="005911D3"/>
    <w:rsid w:val="005B10C8"/>
    <w:rsid w:val="005F174F"/>
    <w:rsid w:val="00631FA7"/>
    <w:rsid w:val="0063410F"/>
    <w:rsid w:val="0065141E"/>
    <w:rsid w:val="006544A1"/>
    <w:rsid w:val="0065651C"/>
    <w:rsid w:val="00670375"/>
    <w:rsid w:val="006C4DD7"/>
    <w:rsid w:val="006E1924"/>
    <w:rsid w:val="00733AFF"/>
    <w:rsid w:val="00735FDE"/>
    <w:rsid w:val="00770F0D"/>
    <w:rsid w:val="00776AF2"/>
    <w:rsid w:val="00781F41"/>
    <w:rsid w:val="00782A30"/>
    <w:rsid w:val="00785779"/>
    <w:rsid w:val="0079322F"/>
    <w:rsid w:val="007A154B"/>
    <w:rsid w:val="007E2C48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34B19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476F5"/>
    <w:rsid w:val="00A84D68"/>
    <w:rsid w:val="00A85774"/>
    <w:rsid w:val="00AA199F"/>
    <w:rsid w:val="00AB00C2"/>
    <w:rsid w:val="00AE48DD"/>
    <w:rsid w:val="00AF342D"/>
    <w:rsid w:val="00AF4169"/>
    <w:rsid w:val="00B05FEC"/>
    <w:rsid w:val="00B33509"/>
    <w:rsid w:val="00B41F1B"/>
    <w:rsid w:val="00B852C0"/>
    <w:rsid w:val="00BB35F5"/>
    <w:rsid w:val="00C06D81"/>
    <w:rsid w:val="00C22368"/>
    <w:rsid w:val="00C247B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E5085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EE4D4E"/>
    <w:rsid w:val="00F31667"/>
    <w:rsid w:val="00F617C2"/>
    <w:rsid w:val="00F641FD"/>
    <w:rsid w:val="00F87444"/>
    <w:rsid w:val="00F96D96"/>
    <w:rsid w:val="00FA0724"/>
    <w:rsid w:val="00FE22C8"/>
    <w:rsid w:val="01C93AD4"/>
    <w:rsid w:val="087325B7"/>
    <w:rsid w:val="0A7E7EE7"/>
    <w:rsid w:val="0E266E74"/>
    <w:rsid w:val="102C6C77"/>
    <w:rsid w:val="14223C3E"/>
    <w:rsid w:val="1A705402"/>
    <w:rsid w:val="1FFC4EAC"/>
    <w:rsid w:val="215A6382"/>
    <w:rsid w:val="27712E6A"/>
    <w:rsid w:val="288739D3"/>
    <w:rsid w:val="28AD1D92"/>
    <w:rsid w:val="2A7A0D91"/>
    <w:rsid w:val="2BA90A20"/>
    <w:rsid w:val="2C23799B"/>
    <w:rsid w:val="3026411C"/>
    <w:rsid w:val="39F550A5"/>
    <w:rsid w:val="3BB776F2"/>
    <w:rsid w:val="3C883FEE"/>
    <w:rsid w:val="3E6F33A4"/>
    <w:rsid w:val="3FDC40CD"/>
    <w:rsid w:val="405F2A99"/>
    <w:rsid w:val="43AE67C0"/>
    <w:rsid w:val="447E7ADC"/>
    <w:rsid w:val="45E0667C"/>
    <w:rsid w:val="45E357E0"/>
    <w:rsid w:val="49351366"/>
    <w:rsid w:val="4BC06535"/>
    <w:rsid w:val="4CA84262"/>
    <w:rsid w:val="4D7C669D"/>
    <w:rsid w:val="4DF70524"/>
    <w:rsid w:val="501922B1"/>
    <w:rsid w:val="507C2C81"/>
    <w:rsid w:val="50A35F7B"/>
    <w:rsid w:val="50CB5898"/>
    <w:rsid w:val="56A02A98"/>
    <w:rsid w:val="57F03FAD"/>
    <w:rsid w:val="5B476E42"/>
    <w:rsid w:val="5BA86896"/>
    <w:rsid w:val="5CFB4213"/>
    <w:rsid w:val="5F842D84"/>
    <w:rsid w:val="62501195"/>
    <w:rsid w:val="62602DFF"/>
    <w:rsid w:val="673755C1"/>
    <w:rsid w:val="693B3A58"/>
    <w:rsid w:val="6A7671E1"/>
    <w:rsid w:val="6CB111AE"/>
    <w:rsid w:val="6E0B5527"/>
    <w:rsid w:val="6E3966B5"/>
    <w:rsid w:val="6F4955D3"/>
    <w:rsid w:val="76166E41"/>
    <w:rsid w:val="7A5C5535"/>
    <w:rsid w:val="7A942A3E"/>
    <w:rsid w:val="7DC4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12AC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11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1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12AC7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qFormat/>
    <w:rsid w:val="00112A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12AC7"/>
    <w:rPr>
      <w:i/>
      <w:iCs/>
    </w:rPr>
  </w:style>
  <w:style w:type="character" w:styleId="a9">
    <w:name w:val="Hyperlink"/>
    <w:basedOn w:val="a0"/>
    <w:qFormat/>
    <w:rsid w:val="00112AC7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112AC7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112AC7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112AC7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112AC7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112AC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112AC7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2BA0D-0077-472D-9903-2B5D6B40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739</Words>
  <Characters>4215</Characters>
  <Application>Microsoft Office Word</Application>
  <DocSecurity>0</DocSecurity>
  <Lines>35</Lines>
  <Paragraphs>9</Paragraphs>
  <ScaleCrop>false</ScaleCrop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2017-01-05T16:24:00Z</cp:lastPrinted>
  <dcterms:created xsi:type="dcterms:W3CDTF">2020-02-13T20:47:00Z</dcterms:created>
  <dcterms:modified xsi:type="dcterms:W3CDTF">2021-02-28T08:53:00Z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