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t>《消费者行为》课程教学大纲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59"/>
        <w:gridCol w:w="101"/>
        <w:gridCol w:w="440"/>
        <w:gridCol w:w="2111"/>
        <w:gridCol w:w="1557"/>
        <w:gridCol w:w="853"/>
        <w:gridCol w:w="749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课程名称：消费者行为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2 / 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1至18周，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星期二</w:t>
            </w:r>
            <w:bookmarkStart w:id="0" w:name="_GoBack"/>
            <w:bookmarkEnd w:id="0"/>
            <w:r>
              <w:rPr>
                <w:rFonts w:eastAsia="宋体"/>
                <w:b/>
                <w:sz w:val="21"/>
                <w:szCs w:val="21"/>
                <w:lang w:eastAsia="zh-CN"/>
              </w:rPr>
              <w:t>(1-2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节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6211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2017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级计算机科学与技术系（跨境电商）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开课学院：粤台产业科技学院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计算机科学与技术系（跨境电商）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职称：杨硕蓉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使用教材：消费者心理与行为（第六版）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江林、丁瑛主编，中国人民大学出版社，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教学参考资料：消费者行为学（第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版），迈克尔•所罗门着，卢泰宏、杨晓燕译，中国人民大学出版社，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2014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ind w:firstLine="13" w:firstLineChars="6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12" w:firstLineChars="6"/>
              <w:outlineLvl w:val="0"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消费者行为》课程将系统介绍消费者行为学领域的经典理论，结合企业的真实营销实践案例帮助学生理解理论的背景和应用场景，从而为企业的营销活动提供策略性建议。课程将包含消费者决策过程、知觉与注意、学习与记忆、选择偏见、选择动机、态度改变、群际影响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left="297" w:leftChars="6" w:hanging="283" w:hangingChars="135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使学生了解消费者行为在市场经济中的重要作用，掌握消费者行为的相关基本知识。</w:t>
            </w:r>
          </w:p>
          <w:p>
            <w:pPr>
              <w:tabs>
                <w:tab w:val="left" w:pos="1440"/>
              </w:tabs>
              <w:spacing w:after="0" w:line="360" w:lineRule="exact"/>
              <w:ind w:left="297" w:leftChars="6" w:hanging="283" w:hangingChars="135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了解个人或群体对产品或服务之选择、购买、使用与处置等消费行为的决策历程，透过对消费者行为的全盘性了解，有助于援思制订更佳的营销策略，掌握竞争优势。</w:t>
            </w:r>
          </w:p>
          <w:p>
            <w:pPr>
              <w:tabs>
                <w:tab w:val="left" w:pos="1440"/>
              </w:tabs>
              <w:spacing w:after="0" w:line="360" w:lineRule="exact"/>
              <w:ind w:left="297" w:leftChars="6" w:hanging="283" w:hangingChars="135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透过个案讨论及实务演练，综合体验消费者行为相关理论之应用及实务操作可能面临的挑战。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□核心能力1.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 xml:space="preserve"> 具有运用数学、基础科学及计算机科学与技术相关知识的能力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□核心能力2.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 xml:space="preserve"> 具有计算机软件开发与数据搜寻分析解释的能力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□核心能力3.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具有计算器软件工程技术应用、数据搜集分析应用跨境电商运营知识与技能、及大数据技术的专业所需的技术、技能和使用软硬件辅助工具的能力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□核心能力4.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具有编程设计能力并能应用计算器与数据分析科技来辅助、及大数据技术分析，促进跨境电商运营的能力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核心能力5.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具有项目管理、有效沟通、领域整合与团队合作的能力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□核心能力6. 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具有运用计算机科学与技术理论及应用知识，整合计算机应用技术、数据分析应用及跨境电商运营专业，解决相关问题和进行研发或创新的能力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核心能力7．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具有应对计算器科学与技术快速变迁的能力，并培养自我持续学习的习惯与能力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sym w:font="Wingdings 2" w:char="F052"/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核心能力8．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52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消费者心理与行为学导论</w:t>
            </w:r>
          </w:p>
        </w:tc>
        <w:tc>
          <w:tcPr>
            <w:tcW w:w="44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使得学生了解消费者心理与行为领域的主要研究对象、学科发展脉络，理解研究消费者的必要性和重要性。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影响消费者行为的因素体系</w:t>
            </w:r>
          </w:p>
        </w:tc>
        <w:tc>
          <w:tcPr>
            <w:tcW w:w="44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结合教材中的案例教学，通过本章帮助学生分析影响消费者行为的内部和外部因素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消费者的注意与知觉（上）</w:t>
            </w:r>
          </w:p>
        </w:tc>
        <w:tc>
          <w:tcPr>
            <w:tcW w:w="44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帮助学生理解什么是知觉，分析知觉的过程，区别知觉与感觉，同时结合相关案例进行讨论。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消费者的注意与知觉（下）</w:t>
            </w:r>
          </w:p>
        </w:tc>
        <w:tc>
          <w:tcPr>
            <w:tcW w:w="440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学习本章后使得学生掌握消费者的五个感官系统，每个系统的特点；了解如何测量和提升消费者的注意力，并分析消费者知觉过程如何在企业应用场景中进行应用。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消费者的学习和记忆（上）</w:t>
            </w:r>
          </w:p>
        </w:tc>
        <w:tc>
          <w:tcPr>
            <w:tcW w:w="44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学生应该理解什么是学习，区分认知学习与行为学习，理解学习理论在营销实践中的具体应用。</w:t>
            </w: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消费者的学习与记忆（下）</w:t>
            </w:r>
          </w:p>
        </w:tc>
        <w:tc>
          <w:tcPr>
            <w:tcW w:w="44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本章的学习可以使得学生理解感觉记忆、短时记忆和长时记忆之间的区别，掌握提升记忆的方法，同时有助于理解品牌价值的来源和意义。</w:t>
            </w: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消费者的个性与自我概念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本章的内容需要帮助学生领会消费者的个性、气质、自我概念、生活模式、社会身份等如何作用影响消费者的心理与行为。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消费者态度的形成与改变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学生应当理解消费者态度是如何形成的，怎样改变消费者的态度，以及态度测量的方法。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消费者的需要与购买动机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学生在本章学习之后能够对消费者的需求进行识别和分类，了解消费者购物的东西并尝试对动机进行测量。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消费者的购买决策与购买行为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分析和掌握消费者决策的五个经典阶段，对于每个阶段内消费者心理和行为的特性加以了解。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消费者的决策偏见与非理性行为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理解消费者决策偏见形成的原因，区分不同类型的决策偏见，掌握几种能够有效规避决策偏见的方法。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家庭生命周期、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角色分工与购买行为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通过本章学习使得学生理解家庭角色分工对购买行为的影响。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群体消费心理与行为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区分消费者的的不同群体，解释口碑扩散的原因和有效机制，对参照群体进行具体分析。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社会文化与消费者行为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阐述跨文化差异对消费者行为的影响，分析社会阶层、角色和社会比较是否会对消费者的心理与行为产生影响。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品牌消费心理与行为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学生需要理解什么是品牌，品牌的价值与意义以及如何提高品牌忠诚。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消费者行为与营销组合策略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分析新产品开发、定价、广告设计、购物环境等因素对消费者心理与行为的影响。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消费者行为的其他领域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带领学生了解消费者行为领域的前沿研究，包括体验消费、投资消费、环保消费、在线消费等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简报及缴交报告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4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平时出席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课堂实作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简报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2019 / 03 /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after="0" w:line="360" w:lineRule="exact"/>
        <w:ind w:left="-567"/>
        <w:rPr>
          <w:rFonts w:eastAsia="宋体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D6542"/>
    <w:rsid w:val="004E0481"/>
    <w:rsid w:val="004E7804"/>
    <w:rsid w:val="0054521C"/>
    <w:rsid w:val="005639AB"/>
    <w:rsid w:val="00576D09"/>
    <w:rsid w:val="005805E8"/>
    <w:rsid w:val="005911D3"/>
    <w:rsid w:val="005D5F0D"/>
    <w:rsid w:val="005F174F"/>
    <w:rsid w:val="00631FA7"/>
    <w:rsid w:val="0063410F"/>
    <w:rsid w:val="006502B8"/>
    <w:rsid w:val="0065651C"/>
    <w:rsid w:val="0067047A"/>
    <w:rsid w:val="00735FDE"/>
    <w:rsid w:val="00747C30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44E30"/>
    <w:rsid w:val="009A2B5C"/>
    <w:rsid w:val="009B3EAE"/>
    <w:rsid w:val="009C3354"/>
    <w:rsid w:val="009D3079"/>
    <w:rsid w:val="009F7907"/>
    <w:rsid w:val="00A41C45"/>
    <w:rsid w:val="00A4540C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BF29EE"/>
    <w:rsid w:val="00C06D81"/>
    <w:rsid w:val="00C41D05"/>
    <w:rsid w:val="00C479CB"/>
    <w:rsid w:val="00C705DD"/>
    <w:rsid w:val="00C76FA2"/>
    <w:rsid w:val="00CA1AB8"/>
    <w:rsid w:val="00CB0AC6"/>
    <w:rsid w:val="00CC4A46"/>
    <w:rsid w:val="00CD2F8F"/>
    <w:rsid w:val="00D268B2"/>
    <w:rsid w:val="00D45246"/>
    <w:rsid w:val="00D62B41"/>
    <w:rsid w:val="00D877DC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35EEF"/>
    <w:rsid w:val="00F608EF"/>
    <w:rsid w:val="00F617C2"/>
    <w:rsid w:val="00F96D96"/>
    <w:rsid w:val="00FA0724"/>
    <w:rsid w:val="00FE22C8"/>
    <w:rsid w:val="28AD1D92"/>
    <w:rsid w:val="2C23799B"/>
    <w:rsid w:val="4A526013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標楷體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1E3F1-9124-43AE-94A1-DF7800EA8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393</Words>
  <Characters>2245</Characters>
  <Lines>18</Lines>
  <Paragraphs>5</Paragraphs>
  <TotalTime>1081</TotalTime>
  <ScaleCrop>false</ScaleCrop>
  <LinksUpToDate>false</LinksUpToDate>
  <CharactersWithSpaces>2633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Ansel</cp:lastModifiedBy>
  <cp:lastPrinted>2019-02-27T02:04:00Z</cp:lastPrinted>
  <dcterms:modified xsi:type="dcterms:W3CDTF">2019-03-18T02:57:06Z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