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Arial" w:hAnsi="Arial" w:eastAsia="宋体" w:cs="Arial"/>
          <w:b/>
          <w:sz w:val="32"/>
          <w:szCs w:val="32"/>
          <w:lang w:eastAsia="zh-CN"/>
        </w:rPr>
        <w:t>线性代数</w:t>
      </w:r>
      <w:r>
        <w:rPr>
          <w:rFonts w:hint="eastAsia" w:eastAsia="宋体"/>
          <w:b/>
          <w:sz w:val="32"/>
          <w:szCs w:val="32"/>
          <w:lang w:eastAsia="zh-CN"/>
        </w:rPr>
        <w:t>》课程教学大纲</w:t>
      </w:r>
    </w:p>
    <w:tbl>
      <w:tblPr>
        <w:tblStyle w:val="21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61"/>
        <w:gridCol w:w="398"/>
        <w:gridCol w:w="567"/>
        <w:gridCol w:w="1687"/>
        <w:gridCol w:w="440"/>
        <w:gridCol w:w="2537"/>
        <w:gridCol w:w="1112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sz w:val="21"/>
                <w:szCs w:val="21"/>
                <w:lang w:eastAsia="zh-CN"/>
              </w:rPr>
              <w:t>Linear Algebra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sz w:val="21"/>
                <w:szCs w:val="21"/>
                <w:lang w:eastAsia="zh-CN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</w:t>
            </w:r>
            <w:r>
              <w:rPr>
                <w:rFonts w:eastAsia="宋体"/>
                <w:sz w:val="21"/>
                <w:szCs w:val="21"/>
                <w:lang w:eastAsia="zh-CN"/>
              </w:rPr>
              <w:t>3-4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宋体"/>
                <w:sz w:val="21"/>
                <w:szCs w:val="21"/>
                <w:lang w:eastAsia="zh-CN"/>
              </w:rPr>
              <w:t>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机械系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庄智颖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》，太原理工大学数学学院主编，科学出版社，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》，陈建龙等编，科学出版社，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本课程之教学目标在于清楚并简洁地介绍线性代数的主要观念。讲授的内容含括：线性方程式系统、矩阵、行列式、向量空间、内积空间、线性转换、特征值及特征值与特征向量。此外，课程中将搭配应用实例，协助学生更具体了解上述课题的几何及物理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099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、理解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线性方程式系统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，对于齐次、非齐次的基本概念，能有完善的了解。</w:t>
            </w:r>
          </w:p>
          <w:p>
            <w:pPr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、运用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矩阵、行列式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的基本知识，对于特征值、特征向量的求解以及矩阵对角化的方法，具有一定程度的理解。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、了解维度向量空间、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内积空间、线性转换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等基础理论。</w:t>
            </w:r>
          </w:p>
        </w:tc>
        <w:tc>
          <w:tcPr>
            <w:tcW w:w="4302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教学的重点与难点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、课程思政融入点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行列式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行列式的定义与计算、克拉默法则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高阶行列式的降级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向量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向量与线性运算、线性相关性、向量的秩、空间与内积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向量空间的理解与计算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6-8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矩阵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矩阵的运算、逆矩阵与分块矩阵、矩阵的秩、初等变换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矩阵的变换与运算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线性方程组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齐次线性方程组、非齐次线性方程组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线性方程组的求解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矩阵对角化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特征值与特征向量、矩阵对角化、二次型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特征值与特征向量的计算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线性变换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线性空间、线性变换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线性空间的认知与线性变换的计算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要求：无故旷课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分，迟到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分，缺席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评价标准：参与课堂程度及随堂测验。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评价标准：按照作业完成情况评分。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219075</wp:posOffset>
                  </wp:positionV>
                  <wp:extent cx="1524000" cy="641350"/>
                  <wp:effectExtent l="0" t="0" r="0" b="6350"/>
                  <wp:wrapNone/>
                  <wp:docPr id="1" name="图片 1" descr="吕杰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吕杰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         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96BBB"/>
    <w:rsid w:val="000B626E"/>
    <w:rsid w:val="000C2D4A"/>
    <w:rsid w:val="000E0AE8"/>
    <w:rsid w:val="000E60EB"/>
    <w:rsid w:val="00112FD8"/>
    <w:rsid w:val="00113022"/>
    <w:rsid w:val="00155E5A"/>
    <w:rsid w:val="00171228"/>
    <w:rsid w:val="001A6767"/>
    <w:rsid w:val="001B2F66"/>
    <w:rsid w:val="001B31E9"/>
    <w:rsid w:val="001D28E8"/>
    <w:rsid w:val="001F20BC"/>
    <w:rsid w:val="001F3ABD"/>
    <w:rsid w:val="002111AE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7396C"/>
    <w:rsid w:val="0037561C"/>
    <w:rsid w:val="0039700C"/>
    <w:rsid w:val="003A013B"/>
    <w:rsid w:val="003A0A25"/>
    <w:rsid w:val="003C66D8"/>
    <w:rsid w:val="003E212B"/>
    <w:rsid w:val="003E2BAB"/>
    <w:rsid w:val="003E66A6"/>
    <w:rsid w:val="00411BBB"/>
    <w:rsid w:val="00414FC8"/>
    <w:rsid w:val="00457E42"/>
    <w:rsid w:val="004923D1"/>
    <w:rsid w:val="004B3994"/>
    <w:rsid w:val="004B70EC"/>
    <w:rsid w:val="004D29DE"/>
    <w:rsid w:val="004D6B0F"/>
    <w:rsid w:val="004E0481"/>
    <w:rsid w:val="004E7804"/>
    <w:rsid w:val="005639AB"/>
    <w:rsid w:val="00574564"/>
    <w:rsid w:val="005805E8"/>
    <w:rsid w:val="005911D3"/>
    <w:rsid w:val="005F174F"/>
    <w:rsid w:val="00607D69"/>
    <w:rsid w:val="00631FA7"/>
    <w:rsid w:val="0063410F"/>
    <w:rsid w:val="0065651C"/>
    <w:rsid w:val="00690B98"/>
    <w:rsid w:val="00735FDE"/>
    <w:rsid w:val="00770F0D"/>
    <w:rsid w:val="00776AF2"/>
    <w:rsid w:val="00785779"/>
    <w:rsid w:val="00792DA6"/>
    <w:rsid w:val="007A154B"/>
    <w:rsid w:val="007B1E8B"/>
    <w:rsid w:val="007D38DD"/>
    <w:rsid w:val="007D4A5A"/>
    <w:rsid w:val="007E40F4"/>
    <w:rsid w:val="00807633"/>
    <w:rsid w:val="008147FF"/>
    <w:rsid w:val="00815F78"/>
    <w:rsid w:val="008512DF"/>
    <w:rsid w:val="00855020"/>
    <w:rsid w:val="0088380F"/>
    <w:rsid w:val="00885EED"/>
    <w:rsid w:val="00892ADC"/>
    <w:rsid w:val="00896971"/>
    <w:rsid w:val="008B4200"/>
    <w:rsid w:val="008D2EC1"/>
    <w:rsid w:val="008D4B31"/>
    <w:rsid w:val="008F6642"/>
    <w:rsid w:val="008F718B"/>
    <w:rsid w:val="009039A7"/>
    <w:rsid w:val="00907E3A"/>
    <w:rsid w:val="0091500F"/>
    <w:rsid w:val="00917C66"/>
    <w:rsid w:val="00930C61"/>
    <w:rsid w:val="009320FC"/>
    <w:rsid w:val="009349EE"/>
    <w:rsid w:val="00963101"/>
    <w:rsid w:val="009A2B5C"/>
    <w:rsid w:val="009B3EAE"/>
    <w:rsid w:val="009C3354"/>
    <w:rsid w:val="009D153B"/>
    <w:rsid w:val="009D3079"/>
    <w:rsid w:val="009D4C38"/>
    <w:rsid w:val="009F7907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15CFE"/>
    <w:rsid w:val="00B82E41"/>
    <w:rsid w:val="00BB1E0E"/>
    <w:rsid w:val="00BB35F5"/>
    <w:rsid w:val="00C06D81"/>
    <w:rsid w:val="00C15365"/>
    <w:rsid w:val="00C2206B"/>
    <w:rsid w:val="00C41D05"/>
    <w:rsid w:val="00C479CB"/>
    <w:rsid w:val="00C5574A"/>
    <w:rsid w:val="00C705DD"/>
    <w:rsid w:val="00C76FA2"/>
    <w:rsid w:val="00C93141"/>
    <w:rsid w:val="00CA1AB8"/>
    <w:rsid w:val="00CC4A46"/>
    <w:rsid w:val="00CD2F8F"/>
    <w:rsid w:val="00CE5C11"/>
    <w:rsid w:val="00CE6A7D"/>
    <w:rsid w:val="00D268B2"/>
    <w:rsid w:val="00D33A3E"/>
    <w:rsid w:val="00D45246"/>
    <w:rsid w:val="00D62B41"/>
    <w:rsid w:val="00D757ED"/>
    <w:rsid w:val="00DB45CF"/>
    <w:rsid w:val="00DB5724"/>
    <w:rsid w:val="00DD7E75"/>
    <w:rsid w:val="00DF37F5"/>
    <w:rsid w:val="00DF5C03"/>
    <w:rsid w:val="00DF696D"/>
    <w:rsid w:val="00E0505F"/>
    <w:rsid w:val="00E413E8"/>
    <w:rsid w:val="00E53E23"/>
    <w:rsid w:val="00E73B4D"/>
    <w:rsid w:val="00E73F9A"/>
    <w:rsid w:val="00E74E98"/>
    <w:rsid w:val="00E8288B"/>
    <w:rsid w:val="00EC2295"/>
    <w:rsid w:val="00ED3FCA"/>
    <w:rsid w:val="00F31667"/>
    <w:rsid w:val="00F36D52"/>
    <w:rsid w:val="00F36D6A"/>
    <w:rsid w:val="00F6005B"/>
    <w:rsid w:val="00F617C2"/>
    <w:rsid w:val="00F96D96"/>
    <w:rsid w:val="00FA0724"/>
    <w:rsid w:val="00FA3123"/>
    <w:rsid w:val="00FE22C8"/>
    <w:rsid w:val="00FE7E45"/>
    <w:rsid w:val="05C9236B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semiHidden="0" w:name="envelope address"/>
    <w:lsdException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nhideWhenUsed/>
    <w:uiPriority w:val="99"/>
    <w:pPr>
      <w:spacing w:after="0"/>
      <w:ind w:left="2880"/>
    </w:pPr>
    <w:rPr>
      <w:rFonts w:asciiTheme="majorHAnsi" w:hAnsiTheme="majorHAnsi" w:eastAsiaTheme="majorEastAsia" w:cstheme="majorBidi"/>
    </w:rPr>
  </w:style>
  <w:style w:type="paragraph" w:styleId="12">
    <w:name w:val="Plain Text"/>
    <w:basedOn w:val="1"/>
    <w:link w:val="58"/>
    <w:semiHidden/>
    <w:unhideWhenUsed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13">
    <w:name w:val="endnote text"/>
    <w:basedOn w:val="1"/>
    <w:link w:val="57"/>
    <w:semiHidden/>
    <w:unhideWhenUsed/>
    <w:uiPriority w:val="99"/>
    <w:pPr>
      <w:spacing w:after="0"/>
    </w:pPr>
    <w:rPr>
      <w:sz w:val="20"/>
      <w:szCs w:val="20"/>
    </w:rPr>
  </w:style>
  <w:style w:type="paragraph" w:styleId="14">
    <w:name w:val="Balloon Text"/>
    <w:basedOn w:val="1"/>
    <w:link w:val="34"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32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envelope return"/>
    <w:basedOn w:val="1"/>
    <w:unhideWhenUsed/>
    <w:uiPriority w:val="99"/>
    <w:pPr>
      <w:spacing w:after="0"/>
    </w:pPr>
    <w:rPr>
      <w:rFonts w:asciiTheme="majorHAnsi" w:hAnsiTheme="majorHAnsi" w:eastAsiaTheme="majorEastAsia" w:cstheme="majorBidi"/>
      <w:sz w:val="20"/>
    </w:rPr>
  </w:style>
  <w:style w:type="paragraph" w:styleId="17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56"/>
    <w:semiHidden/>
    <w:unhideWhenUsed/>
    <w:uiPriority w:val="99"/>
    <w:pPr>
      <w:spacing w:after="0"/>
    </w:pPr>
    <w:rPr>
      <w:sz w:val="20"/>
      <w:szCs w:val="20"/>
    </w:rPr>
  </w:style>
  <w:style w:type="paragraph" w:styleId="20">
    <w:name w:val="Title"/>
    <w:basedOn w:val="1"/>
    <w:next w:val="1"/>
    <w:link w:val="4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table" w:styleId="22">
    <w:name w:val="Table Grid"/>
    <w:basedOn w:val="21"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endnote reference"/>
    <w:basedOn w:val="23"/>
    <w:semiHidden/>
    <w:unhideWhenUsed/>
    <w:uiPriority w:val="99"/>
    <w:rPr>
      <w:vertAlign w:val="superscript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footnote reference"/>
    <w:basedOn w:val="23"/>
    <w:semiHidden/>
    <w:unhideWhenUsed/>
    <w:uiPriority w:val="99"/>
    <w:rPr>
      <w:vertAlign w:val="superscript"/>
    </w:rPr>
  </w:style>
  <w:style w:type="paragraph" w:customStyle="1" w:styleId="29">
    <w:name w:val="列出段落1"/>
    <w:basedOn w:val="1"/>
    <w:qFormat/>
    <w:uiPriority w:val="34"/>
    <w:pPr>
      <w:spacing w:after="0"/>
      <w:ind w:left="480"/>
      <w:jc w:val="left"/>
    </w:pPr>
    <w:rPr>
      <w:rFonts w:ascii="Calibri" w:hAnsi="Calibri" w:eastAsia="DFKai-SB"/>
      <w:lang w:eastAsia="zh-TW"/>
    </w:rPr>
  </w:style>
  <w:style w:type="character" w:customStyle="1" w:styleId="30">
    <w:name w:val="Fontstyle01"/>
    <w:basedOn w:val="23"/>
    <w:uiPriority w:val="99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31">
    <w:name w:val="页眉 字符"/>
    <w:basedOn w:val="23"/>
    <w:link w:val="17"/>
    <w:uiPriority w:val="99"/>
    <w:rPr>
      <w:rFonts w:eastAsia="PMingLiU"/>
      <w:sz w:val="18"/>
      <w:szCs w:val="18"/>
      <w:lang w:eastAsia="en-US"/>
    </w:rPr>
  </w:style>
  <w:style w:type="character" w:customStyle="1" w:styleId="32">
    <w:name w:val="页脚 字符"/>
    <w:basedOn w:val="23"/>
    <w:link w:val="15"/>
    <w:uiPriority w:val="99"/>
    <w:rPr>
      <w:rFonts w:eastAsia="PMingLiU"/>
      <w:sz w:val="18"/>
      <w:szCs w:val="18"/>
      <w:lang w:eastAsia="en-US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character" w:customStyle="1" w:styleId="34">
    <w:name w:val="批注框文本 字符"/>
    <w:basedOn w:val="23"/>
    <w:link w:val="14"/>
    <w:uiPriority w:val="99"/>
    <w:rPr>
      <w:rFonts w:eastAsia="PMingLiU"/>
      <w:sz w:val="18"/>
      <w:szCs w:val="18"/>
      <w:lang w:eastAsia="en-US"/>
    </w:rPr>
  </w:style>
  <w:style w:type="paragraph" w:styleId="35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标题 1 字符"/>
    <w:basedOn w:val="23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37">
    <w:name w:val="标题 2 字符"/>
    <w:basedOn w:val="23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8">
    <w:name w:val="标题 3 字符"/>
    <w:basedOn w:val="23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标题 4 字符"/>
    <w:basedOn w:val="23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标题 5 字符"/>
    <w:basedOn w:val="23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41">
    <w:name w:val="标题 6 字符"/>
    <w:basedOn w:val="23"/>
    <w:link w:val="7"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2">
    <w:name w:val="标题 7 字符"/>
    <w:basedOn w:val="23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标题 8 字符"/>
    <w:basedOn w:val="23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标题 9 字符"/>
    <w:basedOn w:val="23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标题 字符"/>
    <w:basedOn w:val="23"/>
    <w:link w:val="20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6">
    <w:name w:val="副标题 字符"/>
    <w:basedOn w:val="23"/>
    <w:link w:val="1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2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2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引用 字符"/>
    <w:basedOn w:val="23"/>
    <w:link w:val="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明显引用 字符"/>
    <w:basedOn w:val="23"/>
    <w:link w:val="51"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Reference"/>
    <w:basedOn w:val="23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4">
    <w:name w:val="Intense Reference"/>
    <w:basedOn w:val="23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5">
    <w:name w:val="Book Title"/>
    <w:basedOn w:val="23"/>
    <w:qFormat/>
    <w:uiPriority w:val="33"/>
    <w:rPr>
      <w:b/>
      <w:bCs/>
      <w:smallCaps/>
      <w:spacing w:val="5"/>
    </w:rPr>
  </w:style>
  <w:style w:type="character" w:customStyle="1" w:styleId="56">
    <w:name w:val="脚注文本 字符"/>
    <w:basedOn w:val="23"/>
    <w:link w:val="19"/>
    <w:semiHidden/>
    <w:uiPriority w:val="99"/>
    <w:rPr>
      <w:sz w:val="20"/>
      <w:szCs w:val="20"/>
    </w:rPr>
  </w:style>
  <w:style w:type="character" w:customStyle="1" w:styleId="57">
    <w:name w:val="尾注文本 字符"/>
    <w:basedOn w:val="23"/>
    <w:link w:val="13"/>
    <w:semiHidden/>
    <w:uiPriority w:val="99"/>
    <w:rPr>
      <w:sz w:val="20"/>
      <w:szCs w:val="20"/>
    </w:rPr>
  </w:style>
  <w:style w:type="character" w:customStyle="1" w:styleId="58">
    <w:name w:val="纯文本 字符"/>
    <w:basedOn w:val="23"/>
    <w:link w:val="12"/>
    <w:uiPriority w:val="99"/>
    <w:rPr>
      <w:rFonts w:ascii="Courier New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A4534B-4F79-46C0-A2FA-EFEE0A044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2019-09-09T04:02:00Z</dcterms:created>
  <dc:creator>lenovo</dc:creator>
  <cp:lastModifiedBy>落情湖</cp:lastModifiedBy>
  <dcterms:modified xsi:type="dcterms:W3CDTF">2019-09-27T03:11:40Z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