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《大数据分析基础与</w:t>
      </w:r>
      <w:r>
        <w:rPr>
          <w:rFonts w:eastAsia="宋体"/>
          <w:b/>
          <w:sz w:val="32"/>
          <w:szCs w:val="32"/>
          <w:lang w:eastAsia="zh-CN"/>
        </w:rPr>
        <w:t>R</w:t>
      </w:r>
      <w:r>
        <w:rPr>
          <w:rFonts w:hint="eastAsia" w:eastAsia="宋体"/>
          <w:b/>
          <w:sz w:val="32"/>
          <w:szCs w:val="32"/>
          <w:lang w:eastAsia="zh-CN"/>
        </w:rPr>
        <w:t>语言》教学大纲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49"/>
        <w:gridCol w:w="53"/>
        <w:gridCol w:w="373"/>
        <w:gridCol w:w="2391"/>
        <w:gridCol w:w="188"/>
        <w:gridCol w:w="2782"/>
        <w:gridCol w:w="53"/>
        <w:gridCol w:w="735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6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课程名称：大数据分析基础与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语言</w:t>
            </w:r>
          </w:p>
        </w:tc>
        <w:tc>
          <w:tcPr>
            <w:tcW w:w="4505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6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505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6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授课时间：星期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~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三节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505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/>
                <w:b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授课地点：实验楼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级计算机科学与技术系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电商专业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开课院系：粤台产业科技学院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计算机科学与技术系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职称：杨硕蓉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（○）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 xml:space="preserve"> </w:t>
            </w:r>
            <w:r>
              <w:rPr>
                <w:rFonts w:hint="eastAsia" w:ascii="PMingLiU" w:hAnsi="PMingLiU" w:eastAsia="宋体"/>
                <w:szCs w:val="21"/>
                <w:lang w:eastAsia="zh-CN"/>
              </w:rPr>
              <w:t>报告及程序码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语言实战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作者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卡巴科弗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译者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王小宁等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ISBN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9787115420572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软件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应用统计方法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作者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陈景祥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着，屈超，孙雪梅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, ISBN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9787565415258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本课程结合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语言与数据挖掘的知识和重点难点，注重学以致用，按照由浅入深的方式，循序渐进教导学生学习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语言。从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语言入门开始，以前期的数据处理为起首，以各类数据分析方法搭配实际案例为载体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为数据挖掘打下扎实的工具基础。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84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掌握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语言数据挖掘的基本思路和模式，打下良好计算器操作基础；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培养学生运用基础科学及计算机科学与技术的能力。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二、能力目标：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课程注重学练结合的方法，充分调动大家思考的积极性，在做中掌握相关知识和技能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藉由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语言使同学体现数据挖掘基础，在实际操作中快速运用程序语言进行数据挖掘解决问题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317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：具有运用数学、基础科学及计算机科学与技术相关知识的能力；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：具有计算机软件开发与数据搜寻分析解释的能力；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：具有计算器软件工程技术应用、数据搜集分析应用跨境电商运营知识与技能、及大数据技术的专业所需的技术、技能和使用软硬件辅助工具的能力；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：具有编程设计能力并能应用计算器与数据分析科技来辅助、及大数据技术分析，促进跨境电商运营的能力；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：具有项目管理、有效沟通、领域整合与团队合作的能力；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6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：具有运用计算机科学与技术理论及应用知识，整合计算机应用技术、数据分析应用及跨境电商运营专业，解决相关问题和进行研发或创新的能力；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：具有应对计算器科学与技术快速变迁的能力，并培养自我持续学习的习惯与能力；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：具有理解职业道德、专业伦理、社会责任、国际观以及开拓全球视野的能力。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41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作业</w:t>
            </w:r>
          </w:p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R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语言介绍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了解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R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的基础操作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熟悉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R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的操作接口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包的安装、载入、使用方法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介绍包的下载、安装及使用方法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library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的概念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创建数据集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介绍数据集的概念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理解各类数据结构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数据的导入及汇出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学习从各种数据格式导入数据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实作数据导入及导出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创建新变量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变量的重编码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变量的重命名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教授变量创造、重编码、重命名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理解变数转换之内涵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遗失值处理、类型转换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处理遗失值和各类型转换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理解遗失值概念和排除操作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数据排序、数据集合并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教导数据处理技巧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数据清理及操作大量数据之合并为其难点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数值和字符处理函数、用户自编函数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教导函数概念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自创函数为其难点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控制流操作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教导循环撰写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理解控制流逻辑为其难点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整合与重构结构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教导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reshape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包之运用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重塑数据为难点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描述性统计分析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理解各统计量之意涵，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藉由实际操作中了解，实操及体会数据意义为难点</w:t>
            </w:r>
          </w:p>
          <w:p>
            <w:pPr>
              <w:spacing w:after="0"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掌握科学思维，为学生成长奠定科学的思想基础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课堂讲授</w:t>
            </w: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257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4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30" w:type="dxa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相关、回归分析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实践相关分析及各种回归分析方法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分辨各种回归之运用差异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培育科学探索精神和创新意识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，培育踏实严谨、精益求精的工匠精神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综合</w:t>
            </w:r>
          </w:p>
        </w:tc>
        <w:tc>
          <w:tcPr>
            <w:tcW w:w="1482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257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1482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机器学习方法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重点：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操作各类机器学习方法，包括监督式学习和非监督式学习之理论及实务操作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理论及程序语言之结合为难点</w:t>
            </w:r>
          </w:p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lang w:eastAsia="zh-CN"/>
              </w:rPr>
              <w:t>课程思政融入点：</w:t>
            </w: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培育科学探索精神和创新意识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，培育踏实严谨、精益求精的工匠精神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综合</w:t>
            </w:r>
          </w:p>
        </w:tc>
        <w:tc>
          <w:tcPr>
            <w:tcW w:w="1482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TW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257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1482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257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1482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449" w:type="dxa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期末报告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34" w:type="dxa"/>
            <w:gridSpan w:val="4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平时出席</w:t>
            </w:r>
          </w:p>
        </w:tc>
        <w:tc>
          <w:tcPr>
            <w:tcW w:w="5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考勤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  <w:tc>
          <w:tcPr>
            <w:tcW w:w="5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课堂实作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期末报告</w:t>
            </w:r>
          </w:p>
        </w:tc>
        <w:tc>
          <w:tcPr>
            <w:tcW w:w="5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sz w:val="20"/>
                <w:szCs w:val="20"/>
                <w:lang w:eastAsia="zh-CN"/>
              </w:rPr>
              <w:t>报告及程序代码缴交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PMingLiU" w:hAnsi="PMingLiU" w:eastAsia="宋体"/>
                <w:sz w:val="20"/>
                <w:szCs w:val="20"/>
                <w:lang w:eastAsia="zh-CN"/>
              </w:rPr>
            </w:pPr>
            <w:r>
              <w:rPr>
                <w:rFonts w:ascii="PMingLiU" w:hAnsi="PMingLiU" w:eastAsia="宋体"/>
                <w:sz w:val="20"/>
                <w:szCs w:val="20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2019/09/05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系（部）主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>任签名：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 xml:space="preserve"> 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05815" cy="368300"/>
                  <wp:effectExtent l="0" t="0" r="13335" b="12700"/>
                  <wp:docPr id="3" name="图片 3" descr="时维宁签名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时维宁签名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-12000"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          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211E9"/>
    <w:rsid w:val="00155E5A"/>
    <w:rsid w:val="00171228"/>
    <w:rsid w:val="001B31E9"/>
    <w:rsid w:val="001D28E8"/>
    <w:rsid w:val="001F20BC"/>
    <w:rsid w:val="002111AE"/>
    <w:rsid w:val="00227119"/>
    <w:rsid w:val="002309E4"/>
    <w:rsid w:val="00295970"/>
    <w:rsid w:val="002C0D8F"/>
    <w:rsid w:val="002E27E1"/>
    <w:rsid w:val="003044FA"/>
    <w:rsid w:val="003403E2"/>
    <w:rsid w:val="0037561C"/>
    <w:rsid w:val="003C66D8"/>
    <w:rsid w:val="003E2BAB"/>
    <w:rsid w:val="003E66A6"/>
    <w:rsid w:val="00414FC8"/>
    <w:rsid w:val="00457E42"/>
    <w:rsid w:val="004B3994"/>
    <w:rsid w:val="004B5DE3"/>
    <w:rsid w:val="004B7C67"/>
    <w:rsid w:val="004D29DE"/>
    <w:rsid w:val="004E0481"/>
    <w:rsid w:val="004E7804"/>
    <w:rsid w:val="00542483"/>
    <w:rsid w:val="005639AB"/>
    <w:rsid w:val="005805E8"/>
    <w:rsid w:val="005911D3"/>
    <w:rsid w:val="005B10C8"/>
    <w:rsid w:val="005C0306"/>
    <w:rsid w:val="005F174F"/>
    <w:rsid w:val="00610F10"/>
    <w:rsid w:val="00631FA7"/>
    <w:rsid w:val="0063410F"/>
    <w:rsid w:val="006544A1"/>
    <w:rsid w:val="0065651C"/>
    <w:rsid w:val="00670375"/>
    <w:rsid w:val="006D3E56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41C45"/>
    <w:rsid w:val="00A45C9B"/>
    <w:rsid w:val="00A84D68"/>
    <w:rsid w:val="00A85774"/>
    <w:rsid w:val="00AA199F"/>
    <w:rsid w:val="00AB00C2"/>
    <w:rsid w:val="00AE48DD"/>
    <w:rsid w:val="00AF342D"/>
    <w:rsid w:val="00B05FEC"/>
    <w:rsid w:val="00B07A86"/>
    <w:rsid w:val="00B33509"/>
    <w:rsid w:val="00B97A7C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163A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31667"/>
    <w:rsid w:val="00F617C2"/>
    <w:rsid w:val="00F641FD"/>
    <w:rsid w:val="00F96D96"/>
    <w:rsid w:val="00FA0724"/>
    <w:rsid w:val="00FE22C8"/>
    <w:rsid w:val="28AD1D92"/>
    <w:rsid w:val="2C23799B"/>
    <w:rsid w:val="563F71FE"/>
    <w:rsid w:val="62602DFF"/>
    <w:rsid w:val="674D5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EFC1C1-9586-49BF-9B3B-2E93525DDC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400</Words>
  <Characters>2284</Characters>
  <Lines>19</Lines>
  <Paragraphs>5</Paragraphs>
  <TotalTime>0</TotalTime>
  <ScaleCrop>false</ScaleCrop>
  <LinksUpToDate>false</LinksUpToDate>
  <CharactersWithSpaces>2679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落情湖</cp:lastModifiedBy>
  <cp:lastPrinted>2019-09-05T02:38:00Z</cp:lastPrinted>
  <dcterms:modified xsi:type="dcterms:W3CDTF">2019-09-27T02:52:21Z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