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《</w:t>
      </w:r>
      <w:r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  <w:t>财务管理</w:t>
      </w:r>
      <w:r>
        <w:rPr>
          <w:b/>
          <w:sz w:val="32"/>
          <w:szCs w:val="32"/>
          <w:lang w:eastAsia="zh-CN"/>
        </w:rPr>
        <w:t>》教学大纲</w:t>
      </w:r>
    </w:p>
    <w:tbl>
      <w:tblPr>
        <w:tblStyle w:val="6"/>
        <w:tblW w:w="94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409"/>
        <w:gridCol w:w="94"/>
        <w:gridCol w:w="565"/>
        <w:gridCol w:w="2501"/>
        <w:gridCol w:w="1822"/>
        <w:gridCol w:w="963"/>
        <w:gridCol w:w="100"/>
        <w:gridCol w:w="322"/>
        <w:gridCol w:w="104"/>
        <w:gridCol w:w="1063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10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课程名称：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财务管理</w:t>
            </w:r>
          </w:p>
        </w:tc>
        <w:tc>
          <w:tcPr>
            <w:tcW w:w="4394" w:type="dxa"/>
            <w:gridSpan w:val="7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课程类别（必修/选修）：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专业必修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4" w:type="dxa"/>
            <w:gridSpan w:val="12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sz w:val="21"/>
                <w:szCs w:val="21"/>
                <w:lang w:eastAsia="zh-TW"/>
              </w:rPr>
            </w:pPr>
            <w:r>
              <w:rPr>
                <w:rFonts w:eastAsia="宋体"/>
                <w:b/>
                <w:sz w:val="21"/>
                <w:szCs w:val="21"/>
              </w:rPr>
              <w:t xml:space="preserve">课程英文名称：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F</w:t>
            </w:r>
            <w:r>
              <w:rPr>
                <w:rFonts w:hint="eastAsia"/>
                <w:sz w:val="21"/>
                <w:szCs w:val="21"/>
                <w:lang w:eastAsia="zh-TW"/>
              </w:rPr>
              <w:t>inancial Management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10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TW"/>
              </w:rPr>
            </w:pPr>
            <w:r>
              <w:rPr>
                <w:rFonts w:eastAsia="宋体"/>
                <w:b/>
                <w:sz w:val="21"/>
                <w:szCs w:val="21"/>
              </w:rPr>
              <w:t>总学时/周学时/学分：</w:t>
            </w:r>
            <w:r>
              <w:rPr>
                <w:rFonts w:hint="eastAsia"/>
                <w:sz w:val="21"/>
                <w:szCs w:val="21"/>
                <w:lang w:eastAsia="zh-TW"/>
              </w:rPr>
              <w:t>48/3/3</w:t>
            </w:r>
          </w:p>
        </w:tc>
        <w:tc>
          <w:tcPr>
            <w:tcW w:w="4394" w:type="dxa"/>
            <w:gridSpan w:val="7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TW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其中实验/实践学时：</w:t>
            </w:r>
            <w:r>
              <w:rPr>
                <w:rFonts w:hint="eastAsia"/>
                <w:sz w:val="21"/>
                <w:szCs w:val="21"/>
                <w:lang w:eastAsia="zh-TW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4" w:type="dxa"/>
            <w:gridSpan w:val="12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先修课程：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10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授课时间：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周一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第1节至第3节</w:t>
            </w:r>
          </w:p>
        </w:tc>
        <w:tc>
          <w:tcPr>
            <w:tcW w:w="4394" w:type="dxa"/>
            <w:gridSpan w:val="7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TW"/>
              </w:rPr>
            </w:pPr>
            <w:r>
              <w:rPr>
                <w:rFonts w:eastAsia="宋体"/>
                <w:b/>
                <w:sz w:val="21"/>
                <w:szCs w:val="21"/>
              </w:rPr>
              <w:t>授课地点：</w:t>
            </w:r>
            <w:r>
              <w:rPr>
                <w:rFonts w:hint="eastAsia"/>
                <w:sz w:val="21"/>
                <w:szCs w:val="21"/>
                <w:lang w:eastAsia="zh-TW"/>
              </w:rPr>
              <w:t>3209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4" w:type="dxa"/>
            <w:gridSpan w:val="12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授课对象：</w:t>
            </w:r>
            <w:r>
              <w:rPr>
                <w:rFonts w:hint="eastAsia"/>
                <w:sz w:val="21"/>
                <w:szCs w:val="21"/>
                <w:lang w:eastAsia="zh-CN"/>
              </w:rPr>
              <w:t>18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级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经济与金融系</w:t>
            </w: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4" w:type="dxa"/>
            <w:gridSpan w:val="12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开课学院：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粤台产业科技学院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4" w:type="dxa"/>
            <w:gridSpan w:val="12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任课教师姓名/职称：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谢依珊</w:t>
            </w: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4" w:type="dxa"/>
            <w:gridSpan w:val="12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答疑时间、地点与方式：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周五 9:00~11:00</w:t>
            </w: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实验楼</w:t>
            </w:r>
            <w:r>
              <w:rPr>
                <w:rFonts w:hint="eastAsia"/>
                <w:sz w:val="21"/>
                <w:szCs w:val="21"/>
                <w:lang w:eastAsia="zh-CN"/>
              </w:rPr>
              <w:t>204/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面授与讨论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4" w:type="dxa"/>
            <w:gridSpan w:val="12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eastAsia="宋体"/>
                <w:sz w:val="21"/>
                <w:szCs w:val="21"/>
                <w:lang w:eastAsia="zh-CN"/>
              </w:rPr>
              <w:t>开卷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   ）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 闭卷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sym w:font="Wingdings 2" w:char="F050"/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）   </w:t>
            </w:r>
            <w:r>
              <w:rPr>
                <w:rFonts w:eastAsia="宋体"/>
                <w:sz w:val="21"/>
                <w:szCs w:val="21"/>
                <w:lang w:eastAsia="zh-CN"/>
              </w:rPr>
              <w:t>课程论文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（  ）   </w:t>
            </w:r>
            <w:r>
              <w:rPr>
                <w:rFonts w:eastAsia="宋体"/>
                <w:sz w:val="21"/>
                <w:szCs w:val="21"/>
                <w:lang w:eastAsia="zh-CN"/>
              </w:rPr>
              <w:t>其它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4" w:type="dxa"/>
            <w:gridSpan w:val="12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《财务管理学》，第2版，肖淑芳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、佟岩、刘宁悦主编，北京理工大学出版社</w:t>
            </w:r>
          </w:p>
          <w:p>
            <w:pPr>
              <w:tabs>
                <w:tab w:val="left" w:pos="1440"/>
              </w:tabs>
              <w:spacing w:after="0" w:line="360" w:lineRule="exact"/>
              <w:ind w:left="1581" w:hanging="1581" w:hangingChars="750"/>
              <w:outlineLvl w:val="0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  <w:r>
              <w:rPr>
                <w:rFonts w:hint="eastAsia"/>
                <w:bCs/>
                <w:sz w:val="21"/>
                <w:szCs w:val="21"/>
                <w:lang w:eastAsia="zh-TW"/>
              </w:rPr>
              <w:t>1.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《Corporate Finance: Core Principles and Applications 》, 4th Edition, Stephen Ross, Randolph Westerfield, Jeffrey Jaffe and Bradford Jordan, McGraw-Hill Education.</w:t>
            </w:r>
          </w:p>
          <w:p>
            <w:pPr>
              <w:tabs>
                <w:tab w:val="left" w:pos="1440"/>
              </w:tabs>
              <w:spacing w:after="0" w:line="360" w:lineRule="exact"/>
              <w:ind w:left="3015" w:leftChars="600" w:hanging="1575" w:hangingChars="750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《财务管理》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,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第四版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, 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刘淑莲等主编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, 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东北财经大学出版社。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4" w:type="dxa"/>
            <w:gridSpan w:val="12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课程简介：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本课程将详论公司治理中的投资决策、融资决策、分配政策、短期营运资金管理等重要决策，包括</w:t>
            </w:r>
            <w:r>
              <w:rPr>
                <w:rFonts w:eastAsia="宋体"/>
                <w:sz w:val="21"/>
                <w:szCs w:val="21"/>
                <w:lang w:eastAsia="zh-CN"/>
              </w:rPr>
              <w:t>:(1)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解读企业财务报表与学习财务分析技巧(</w:t>
            </w:r>
            <w:r>
              <w:rPr>
                <w:rFonts w:hint="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)通过资金时间价值的概念，了解金融资产的估价方式、预期报酬与风险的衡量；</w:t>
            </w:r>
            <w:r>
              <w:rPr>
                <w:rFonts w:eastAsia="宋体"/>
                <w:sz w:val="21"/>
                <w:szCs w:val="21"/>
                <w:lang w:eastAsia="zh-CN"/>
              </w:rPr>
              <w:t>(3)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了解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企业资本结构与股利发放决策，及其对股东财富最大化的作用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  <w:jc w:val="center"/>
        </w:trPr>
        <w:tc>
          <w:tcPr>
            <w:tcW w:w="6832" w:type="dxa"/>
            <w:gridSpan w:val="6"/>
          </w:tcPr>
          <w:p>
            <w:pPr>
              <w:tabs>
                <w:tab w:val="left" w:pos="1440"/>
              </w:tabs>
              <w:spacing w:line="360" w:lineRule="exact"/>
              <w:ind w:firstLine="422" w:firstLineChars="200"/>
              <w:outlineLvl w:val="0"/>
              <w:rPr>
                <w:rFonts w:asciiTheme="minorEastAsia" w:hAnsiTheme="minorEastAsia" w:eastAsia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>
            <w:pPr>
              <w:pStyle w:val="15"/>
              <w:numPr>
                <w:ilvl w:val="0"/>
                <w:numId w:val="1"/>
              </w:numPr>
              <w:tabs>
                <w:tab w:val="left" w:pos="1440"/>
              </w:tabs>
              <w:spacing w:after="0" w:line="360" w:lineRule="exact"/>
              <w:ind w:firstLineChars="0"/>
              <w:outlineLvl w:val="0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充分掌握财务管理的目标、内容及分析方式，并运用在日常投资理财决策中。</w:t>
            </w:r>
          </w:p>
          <w:p>
            <w:pPr>
              <w:pStyle w:val="15"/>
              <w:numPr>
                <w:ilvl w:val="0"/>
                <w:numId w:val="1"/>
              </w:numPr>
              <w:tabs>
                <w:tab w:val="left" w:pos="1440"/>
              </w:tabs>
              <w:spacing w:after="0" w:line="360" w:lineRule="exact"/>
              <w:ind w:firstLineChars="0"/>
              <w:outlineLvl w:val="0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培养同学具备创新精神和分析解决财务、金融与会计等问题的实践能力，未来能在企业、事业单位和行政部门从事财务、金融管理、会计、教学与科研等方面工作的人才。</w:t>
            </w:r>
          </w:p>
          <w:p>
            <w:pPr>
              <w:pStyle w:val="15"/>
              <w:numPr>
                <w:ilvl w:val="0"/>
                <w:numId w:val="1"/>
              </w:numPr>
              <w:tabs>
                <w:tab w:val="left" w:pos="1440"/>
              </w:tabs>
              <w:spacing w:after="0" w:line="360" w:lineRule="exact"/>
              <w:ind w:firstLineChars="0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培养学生具有主动参与、积极进取、探究财务管理的学习学习态度和思想意识。</w:t>
            </w:r>
          </w:p>
          <w:p>
            <w:pPr>
              <w:pStyle w:val="15"/>
              <w:numPr>
                <w:ilvl w:val="0"/>
                <w:numId w:val="1"/>
              </w:numPr>
              <w:tabs>
                <w:tab w:val="left" w:pos="1440"/>
              </w:tabs>
              <w:spacing w:after="0" w:line="360" w:lineRule="exact"/>
              <w:ind w:firstLineChars="0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养成理论联系实际、分析严谨、认真细致、实事求是的学习态度和职业道德。</w:t>
            </w:r>
          </w:p>
        </w:tc>
        <w:tc>
          <w:tcPr>
            <w:tcW w:w="2572" w:type="dxa"/>
            <w:gridSpan w:val="6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本课程与学生核心能力培养之间的关联(授课对象为理工科专业学生的课程填写此栏）：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□核心能力1. 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□核心能力2. 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□核心能力3.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□核心能力4.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□核心能力5.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□核心能力6. 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□核心能力7．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□核心能力8．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4" w:type="dxa"/>
            <w:gridSpan w:val="12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理论教学进程表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44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50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5386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教学的重点、难点、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322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教学方式</w:t>
            </w:r>
          </w:p>
        </w:tc>
        <w:tc>
          <w:tcPr>
            <w:tcW w:w="118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作业安排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40" w:hRule="atLeast"/>
          <w:jc w:val="center"/>
        </w:trPr>
        <w:tc>
          <w:tcPr>
            <w:tcW w:w="441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财务管理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总论</w:t>
            </w:r>
          </w:p>
        </w:tc>
        <w:tc>
          <w:tcPr>
            <w:tcW w:w="565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5386" w:type="dxa"/>
            <w:gridSpan w:val="4"/>
            <w:vAlign w:val="center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重点：财务管理的内容、目标、代理问题及财务管理环境。</w:t>
            </w:r>
          </w:p>
          <w:p>
            <w:pPr>
              <w:spacing w:after="0"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难点：企业委托人与代理人的关系图。</w:t>
            </w:r>
          </w:p>
          <w:p>
            <w:pPr>
              <w:spacing w:after="0" w:line="360" w:lineRule="exact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课程思政融入点：学习企业不只是追求经济利润，也要关注社会效益，增强社会责任感</w:t>
            </w:r>
          </w:p>
        </w:tc>
        <w:tc>
          <w:tcPr>
            <w:tcW w:w="426" w:type="dxa"/>
            <w:gridSpan w:val="2"/>
            <w:vAlign w:val="center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课堂</w:t>
            </w:r>
            <w:r>
              <w:rPr>
                <w:rFonts w:eastAsia="宋体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63" w:type="dxa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课程思政作业:案例</w:t>
            </w:r>
            <w:r>
              <w:rPr>
                <w:rFonts w:hint="eastAsia"/>
                <w:sz w:val="21"/>
                <w:szCs w:val="21"/>
                <w:lang w:eastAsia="zh-CN"/>
              </w:rPr>
              <w:t>1-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雷士照明控制权之争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40" w:hRule="atLeast"/>
          <w:jc w:val="center"/>
        </w:trPr>
        <w:tc>
          <w:tcPr>
            <w:tcW w:w="441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财务报表分析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(一)</w:t>
            </w:r>
          </w:p>
        </w:tc>
        <w:tc>
          <w:tcPr>
            <w:tcW w:w="565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5386" w:type="dxa"/>
            <w:gridSpan w:val="4"/>
            <w:vAlign w:val="center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重点：财务报表信息与分析方法。</w:t>
            </w:r>
          </w:p>
          <w:p>
            <w:pPr>
              <w:spacing w:after="0"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难点：财报信息的合理性判断。</w:t>
            </w:r>
          </w:p>
          <w:p>
            <w:pPr>
              <w:spacing w:after="0" w:line="360" w:lineRule="exact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课程思政融入点：学习以诚信编制财务报表，并以客观角度分析公司经营状况。</w:t>
            </w:r>
          </w:p>
        </w:tc>
        <w:tc>
          <w:tcPr>
            <w:tcW w:w="426" w:type="dxa"/>
            <w:gridSpan w:val="2"/>
            <w:vAlign w:val="center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课堂</w:t>
            </w:r>
            <w:r>
              <w:rPr>
                <w:rFonts w:eastAsia="宋体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63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40" w:hRule="atLeast"/>
          <w:jc w:val="center"/>
        </w:trPr>
        <w:tc>
          <w:tcPr>
            <w:tcW w:w="441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财务报表分析(二)、短期财务决策</w:t>
            </w:r>
          </w:p>
        </w:tc>
        <w:tc>
          <w:tcPr>
            <w:tcW w:w="565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5386" w:type="dxa"/>
            <w:gridSpan w:val="4"/>
            <w:vAlign w:val="center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重点：财务比率分析、短期财务决策。</w:t>
            </w:r>
          </w:p>
          <w:p>
            <w:pPr>
              <w:spacing w:after="0"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难点：财务比率的运用与解读、企业同产业比较、同企业跨期比较、了解营业周期与现金周期的概念，案例分析。</w:t>
            </w:r>
          </w:p>
          <w:p>
            <w:pPr>
              <w:spacing w:after="0" w:line="360" w:lineRule="exact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课程思政融入点：学习以客观的角度分析财报中的信息。</w:t>
            </w:r>
          </w:p>
        </w:tc>
        <w:tc>
          <w:tcPr>
            <w:tcW w:w="426" w:type="dxa"/>
            <w:gridSpan w:val="2"/>
            <w:vAlign w:val="center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课堂</w:t>
            </w:r>
            <w:r>
              <w:rPr>
                <w:rFonts w:eastAsia="宋体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63" w:type="dxa"/>
            <w:vAlign w:val="center"/>
          </w:tcPr>
          <w:p>
            <w:pPr>
              <w:spacing w:after="0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课程思政作业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:案例</w:t>
            </w:r>
            <w:r>
              <w:rPr>
                <w:rFonts w:hint="eastAsia"/>
                <w:sz w:val="21"/>
                <w:szCs w:val="21"/>
                <w:lang w:eastAsia="zh-CN"/>
              </w:rPr>
              <w:t>2-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戴尔存货管理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40" w:hRule="atLeast"/>
          <w:jc w:val="center"/>
        </w:trPr>
        <w:tc>
          <w:tcPr>
            <w:tcW w:w="44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4</w:t>
            </w:r>
          </w:p>
        </w:tc>
        <w:tc>
          <w:tcPr>
            <w:tcW w:w="15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资金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时间价值</w:t>
            </w:r>
          </w:p>
        </w:tc>
        <w:tc>
          <w:tcPr>
            <w:tcW w:w="56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538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重点：资金时间价值、利率决定因素。</w:t>
            </w:r>
          </w:p>
          <w:p>
            <w:pPr>
              <w:spacing w:after="0"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难点：理解现值与终值的概念，并厘清其差异。</w:t>
            </w:r>
          </w:p>
          <w:p>
            <w:pPr>
              <w:spacing w:after="0" w:line="360" w:lineRule="exact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课程思政融入点：通过为人处世教育，向学生揭示校园贷的本质与危害。</w:t>
            </w:r>
          </w:p>
        </w:tc>
        <w:tc>
          <w:tcPr>
            <w:tcW w:w="4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课堂</w:t>
            </w:r>
            <w:r>
              <w:rPr>
                <w:rFonts w:eastAsia="宋体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6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课程思政作业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:案例</w:t>
            </w:r>
            <w:r>
              <w:rPr>
                <w:rFonts w:hint="eastAsia"/>
                <w:sz w:val="21"/>
                <w:szCs w:val="21"/>
                <w:lang w:eastAsia="zh-CN"/>
              </w:rPr>
              <w:t>3-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四川长虹事件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40" w:hRule="atLeast"/>
          <w:jc w:val="center"/>
        </w:trPr>
        <w:tc>
          <w:tcPr>
            <w:tcW w:w="44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6</w:t>
            </w:r>
          </w:p>
        </w:tc>
        <w:tc>
          <w:tcPr>
            <w:tcW w:w="15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证券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估值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（一）</w:t>
            </w:r>
          </w:p>
        </w:tc>
        <w:tc>
          <w:tcPr>
            <w:tcW w:w="56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538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重点：有效市场假说、利率概念、债券价值评估。</w:t>
            </w:r>
          </w:p>
          <w:p>
            <w:pPr>
              <w:spacing w:after="0"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难点：债券价值与息票率、期限和收益率之间的关系。</w:t>
            </w:r>
          </w:p>
          <w:p>
            <w:pPr>
              <w:spacing w:after="0" w:line="360" w:lineRule="exact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课程思政融入点：金融专业人才从事股市分析的技术准备。</w:t>
            </w:r>
          </w:p>
        </w:tc>
        <w:tc>
          <w:tcPr>
            <w:tcW w:w="4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课堂</w:t>
            </w:r>
            <w:r>
              <w:rPr>
                <w:rFonts w:eastAsia="宋体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6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40" w:hRule="atLeast"/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TW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TW"/>
              </w:rPr>
              <w:t>7</w:t>
            </w: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证券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估值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（二）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5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重点：股票价值评估。</w:t>
            </w:r>
          </w:p>
          <w:p>
            <w:pPr>
              <w:spacing w:after="0"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难点：股权自由现金流量方法和公司自由现金流量方法。</w:t>
            </w:r>
          </w:p>
          <w:p>
            <w:pPr>
              <w:spacing w:after="0" w:line="360" w:lineRule="exact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课程思政融入点：金融专业人才从事股市分析的技术准备。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课堂</w:t>
            </w:r>
            <w:r>
              <w:rPr>
                <w:rFonts w:eastAsia="宋体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40" w:hRule="atLeast"/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8</w:t>
            </w: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长期投资决策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TW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5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重点：项目现金流量预测、投资项目评价准则与风险分析。</w:t>
            </w:r>
          </w:p>
          <w:p>
            <w:pPr>
              <w:spacing w:after="0"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难点：净现值、内部收益率准则在互斥项目分析评价中的比较、投资项目的敏感性分析。</w:t>
            </w:r>
          </w:p>
          <w:p>
            <w:pPr>
              <w:spacing w:after="0" w:line="360" w:lineRule="exact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课程思政融入点：引导学生树立创新创业的思想、培养积极合作、互相配合的团队意识。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课堂</w:t>
            </w:r>
            <w:r>
              <w:rPr>
                <w:rFonts w:eastAsia="宋体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40" w:hRule="atLeast"/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9</w:t>
            </w: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期中考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5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40" w:hRule="atLeast"/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TW"/>
              </w:rPr>
              <w:t>10</w:t>
            </w: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风险与收益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5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重点：历史收益与风险衡量、预期收益率与风险衡量、投资组合、资本资产定价模型。</w:t>
            </w:r>
          </w:p>
          <w:p>
            <w:pPr>
              <w:spacing w:after="0"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难点：投资组合的有效边界与风险分散效应、资本市场线、资产定价多因素模型。</w:t>
            </w:r>
          </w:p>
          <w:p>
            <w:pPr>
              <w:spacing w:after="0" w:line="360" w:lineRule="exact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课程思政融入点：培养学生分散风险的概念。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课堂</w:t>
            </w:r>
            <w:r>
              <w:rPr>
                <w:rFonts w:eastAsia="宋体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40" w:hRule="atLeast"/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11</w:t>
            </w: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长期筹资方式(一)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5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重点：长期筹资概述、权益性筹资</w:t>
            </w:r>
          </w:p>
          <w:p>
            <w:pPr>
              <w:spacing w:after="0"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难点：股权再融资</w:t>
            </w:r>
          </w:p>
          <w:p>
            <w:pPr>
              <w:spacing w:after="0"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课程思政融入点：金融专业人才从事数据分析的技术准备。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课堂</w:t>
            </w:r>
            <w:r>
              <w:rPr>
                <w:rFonts w:eastAsia="宋体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40" w:hRule="atLeast"/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12</w:t>
            </w: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长期筹资方式(二)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TW"/>
              </w:rPr>
              <w:t>1</w:t>
            </w:r>
          </w:p>
        </w:tc>
        <w:tc>
          <w:tcPr>
            <w:tcW w:w="5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重点：债务性筹资与混合型筹资</w:t>
            </w:r>
          </w:p>
          <w:p>
            <w:pPr>
              <w:spacing w:after="0"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难点：债务性筹资与混合型筹资</w:t>
            </w:r>
          </w:p>
          <w:p>
            <w:pPr>
              <w:spacing w:after="0"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课程思政融入点：金融专业人才从事数据分析的技术准备。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课堂</w:t>
            </w:r>
            <w:r>
              <w:rPr>
                <w:rFonts w:eastAsia="宋体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40" w:hRule="atLeast"/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13</w:t>
            </w: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资金成本的估算(一)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5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重点：资金构成要素、资金成本估算</w:t>
            </w:r>
          </w:p>
          <w:p>
            <w:pPr>
              <w:spacing w:after="0"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难点：留存收益成本的概念</w:t>
            </w:r>
          </w:p>
          <w:p>
            <w:pPr>
              <w:spacing w:after="0"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课程思政融入点：金融专业人才从事数据分析的技术准备。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课堂</w:t>
            </w:r>
            <w:r>
              <w:rPr>
                <w:rFonts w:eastAsia="宋体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40" w:hRule="atLeast"/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14</w:t>
            </w: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资金成本的估算(二)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TW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TW"/>
              </w:rPr>
              <w:t>1</w:t>
            </w:r>
          </w:p>
        </w:tc>
        <w:tc>
          <w:tcPr>
            <w:tcW w:w="5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重点：资金成本的影响因素</w:t>
            </w:r>
          </w:p>
          <w:p>
            <w:pPr>
              <w:spacing w:after="0"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难点：资金成本与投资收益之间的关系</w:t>
            </w:r>
          </w:p>
          <w:p>
            <w:pPr>
              <w:spacing w:after="0"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课程思政融入点：金融专业人才从事数据分析的技术准备。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课堂</w:t>
            </w:r>
            <w:r>
              <w:rPr>
                <w:rFonts w:eastAsia="宋体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40" w:hRule="atLeast"/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15</w:t>
            </w: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资本结构与杠杆（一）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TW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TW"/>
              </w:rPr>
              <w:t>1</w:t>
            </w:r>
          </w:p>
        </w:tc>
        <w:tc>
          <w:tcPr>
            <w:tcW w:w="5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重点：MM理论、权衡理论、信息部对称理论、</w:t>
            </w:r>
          </w:p>
          <w:p>
            <w:pPr>
              <w:spacing w:after="0"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难点：资本结构的内涵</w:t>
            </w:r>
          </w:p>
          <w:p>
            <w:pPr>
              <w:spacing w:after="0"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课程思政融入点：金融专业人才从事数据分析的技术准备。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课堂</w:t>
            </w:r>
            <w:r>
              <w:rPr>
                <w:rFonts w:eastAsia="宋体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40" w:hRule="atLeast"/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16</w:t>
            </w: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资本结构与杠杆（二）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5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重点：杠杆原理。</w:t>
            </w:r>
          </w:p>
          <w:p>
            <w:pPr>
              <w:spacing w:after="0"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难点：经营杠杆与财务杠杆的内涵</w:t>
            </w:r>
          </w:p>
          <w:p>
            <w:pPr>
              <w:spacing w:after="0"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课程思政融入点：金融专业人才从事数据分析的技术准备。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课堂</w:t>
            </w:r>
            <w:r>
              <w:rPr>
                <w:rFonts w:eastAsia="宋体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40" w:hRule="atLeast"/>
          <w:jc w:val="center"/>
        </w:trPr>
        <w:tc>
          <w:tcPr>
            <w:tcW w:w="194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合计：</w:t>
            </w:r>
          </w:p>
        </w:tc>
        <w:tc>
          <w:tcPr>
            <w:tcW w:w="565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32</w:t>
            </w:r>
          </w:p>
        </w:tc>
        <w:tc>
          <w:tcPr>
            <w:tcW w:w="538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4" w:type="dxa"/>
            <w:gridSpan w:val="12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Cs w:val="21"/>
                <w:lang w:eastAsia="zh-CN"/>
              </w:rPr>
              <w:t>实践教学进程表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周次</w:t>
            </w:r>
          </w:p>
        </w:tc>
        <w:tc>
          <w:tcPr>
            <w:tcW w:w="150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实验项目名称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学时</w:t>
            </w:r>
          </w:p>
        </w:tc>
        <w:tc>
          <w:tcPr>
            <w:tcW w:w="432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06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项目类型（验证/综合/设计）</w:t>
            </w:r>
          </w:p>
        </w:tc>
        <w:tc>
          <w:tcPr>
            <w:tcW w:w="1509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教学</w:t>
            </w:r>
          </w:p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案例</w:t>
            </w:r>
            <w:r>
              <w:rPr>
                <w:rFonts w:hint="eastAsia"/>
                <w:sz w:val="21"/>
                <w:szCs w:val="21"/>
                <w:lang w:eastAsia="zh-CN"/>
              </w:rPr>
              <w:t>1-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雷士照明控制权之争</w:t>
            </w:r>
          </w:p>
        </w:tc>
        <w:tc>
          <w:tcPr>
            <w:tcW w:w="565" w:type="dxa"/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</w:t>
            </w:r>
          </w:p>
        </w:tc>
        <w:tc>
          <w:tcPr>
            <w:tcW w:w="4323" w:type="dxa"/>
            <w:gridSpan w:val="2"/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重点:了解控制权争纷的来龙去脉及控制权丧失的主因。</w:t>
            </w:r>
          </w:p>
          <w:p>
            <w:pPr>
              <w:spacing w:line="36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难点:研究上市公司如何保持控制权</w:t>
            </w:r>
          </w:p>
          <w:p>
            <w:pPr>
              <w:spacing w:line="36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课程思政融入点：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509" w:type="dxa"/>
            <w:gridSpan w:val="4"/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提问与讲评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" w:type="dxa"/>
            <w:vAlign w:val="center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TW"/>
              </w:rPr>
              <w:t>5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EXCEL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财务函数操作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货币时间价值之应用</w:t>
            </w:r>
          </w:p>
        </w:tc>
        <w:tc>
          <w:tcPr>
            <w:tcW w:w="565" w:type="dxa"/>
            <w:vAlign w:val="center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TW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4323" w:type="dxa"/>
            <w:gridSpan w:val="2"/>
          </w:tcPr>
          <w:p>
            <w:pPr>
              <w:spacing w:after="0" w:line="360" w:lineRule="exact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重点：提出(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)贷款买房最佳的还款方式；(2)中头彩后最佳的领奖方式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(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)举债公司各期的还款现金流。</w:t>
            </w:r>
          </w:p>
          <w:p>
            <w:pPr>
              <w:spacing w:after="0" w:line="36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难点：利用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EXCEL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计算终值与现值。</w:t>
            </w:r>
          </w:p>
          <w:p>
            <w:pPr>
              <w:spacing w:after="0" w:line="36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课程思政融入点：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509" w:type="dxa"/>
            <w:gridSpan w:val="4"/>
            <w:vAlign w:val="center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机上操作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" w:type="dxa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6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案例</w:t>
            </w:r>
            <w:r>
              <w:rPr>
                <w:rFonts w:hint="eastAsia"/>
                <w:sz w:val="21"/>
                <w:szCs w:val="21"/>
                <w:lang w:eastAsia="zh-CN"/>
              </w:rPr>
              <w:t>2-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戴尔存货管理</w:t>
            </w: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案例</w:t>
            </w:r>
            <w:r>
              <w:rPr>
                <w:rFonts w:hint="eastAsia"/>
                <w:sz w:val="21"/>
                <w:szCs w:val="21"/>
                <w:lang w:eastAsia="zh-CN"/>
              </w:rPr>
              <w:t>3-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四川长虹事件</w:t>
            </w:r>
          </w:p>
        </w:tc>
        <w:tc>
          <w:tcPr>
            <w:tcW w:w="565" w:type="dxa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4323" w:type="dxa"/>
            <w:gridSpan w:val="2"/>
            <w:vAlign w:val="center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/>
                <w:sz w:val="21"/>
                <w:szCs w:val="21"/>
                <w:lang w:eastAsia="zh-CN"/>
              </w:rPr>
              <w:t>-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戴尔存货管理、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四川长虹事件</w:t>
            </w:r>
          </w:p>
          <w:p>
            <w:pPr>
              <w:spacing w:after="0" w:line="36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难点：存货管理的概念</w:t>
            </w:r>
          </w:p>
          <w:p>
            <w:pPr>
              <w:spacing w:after="0" w:line="36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课程思政融入点：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509" w:type="dxa"/>
            <w:gridSpan w:val="4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提问与讲评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" w:type="dxa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11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财报报表分析个人报告(一)</w:t>
            </w:r>
          </w:p>
        </w:tc>
        <w:tc>
          <w:tcPr>
            <w:tcW w:w="565" w:type="dxa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4323" w:type="dxa"/>
            <w:gridSpan w:val="2"/>
            <w:vAlign w:val="center"/>
          </w:tcPr>
          <w:p>
            <w:pPr>
              <w:spacing w:after="0" w:line="360" w:lineRule="exact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选定目标公司进行财务分析</w:t>
            </w:r>
          </w:p>
          <w:p>
            <w:pPr>
              <w:spacing w:after="0" w:line="36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难点：简洁扼要说明投资标的的现况并给与投资建议。</w:t>
            </w:r>
          </w:p>
          <w:p>
            <w:pPr>
              <w:spacing w:after="0" w:line="36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通过个人发表报告，学习自我表达能力，培养同学成为优秀金融分析师。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509" w:type="dxa"/>
            <w:gridSpan w:val="4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提问与讲评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" w:type="dxa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12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财报报表分析个人报告(二)</w:t>
            </w:r>
          </w:p>
        </w:tc>
        <w:tc>
          <w:tcPr>
            <w:tcW w:w="565" w:type="dxa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4323" w:type="dxa"/>
            <w:gridSpan w:val="2"/>
            <w:vAlign w:val="center"/>
          </w:tcPr>
          <w:p>
            <w:pPr>
              <w:spacing w:after="0" w:line="360" w:lineRule="exact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选定目标公司进行财务分析</w:t>
            </w:r>
          </w:p>
          <w:p>
            <w:pPr>
              <w:spacing w:after="0" w:line="36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难点：简洁扼要说明投资标的的现况并给与投资建议。</w:t>
            </w:r>
          </w:p>
          <w:p>
            <w:pPr>
              <w:spacing w:after="0" w:line="36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通过个人发表报告，学习自我表达能力，培养同学成为优秀金融分析师。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509" w:type="dxa"/>
            <w:gridSpan w:val="4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提问与讲评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" w:type="dxa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13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财报报表分析个人报告(三)</w:t>
            </w:r>
          </w:p>
        </w:tc>
        <w:tc>
          <w:tcPr>
            <w:tcW w:w="565" w:type="dxa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4323" w:type="dxa"/>
            <w:gridSpan w:val="2"/>
            <w:vAlign w:val="center"/>
          </w:tcPr>
          <w:p>
            <w:pPr>
              <w:spacing w:after="0" w:line="360" w:lineRule="exact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选定目标公司进行财务分析</w:t>
            </w:r>
          </w:p>
          <w:p>
            <w:pPr>
              <w:spacing w:after="0" w:line="36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难点：简洁扼要说明投资标的的现况并给与投资建议。</w:t>
            </w:r>
          </w:p>
          <w:p>
            <w:pPr>
              <w:spacing w:after="0" w:line="36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通过个人发表报告，学习自我表达能力，培养同学成为优秀金融分析师。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509" w:type="dxa"/>
            <w:gridSpan w:val="4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提问与讲评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" w:type="dxa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14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财报报表分析个人报告(四)</w:t>
            </w:r>
          </w:p>
        </w:tc>
        <w:tc>
          <w:tcPr>
            <w:tcW w:w="565" w:type="dxa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4323" w:type="dxa"/>
            <w:gridSpan w:val="2"/>
            <w:vAlign w:val="center"/>
          </w:tcPr>
          <w:p>
            <w:pPr>
              <w:spacing w:after="0" w:line="360" w:lineRule="exact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选定目标公司进行财务分析</w:t>
            </w:r>
          </w:p>
          <w:p>
            <w:pPr>
              <w:spacing w:after="0" w:line="36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难点：简洁扼要说明投资标的的现况并给与投资建议。</w:t>
            </w:r>
          </w:p>
          <w:p>
            <w:pPr>
              <w:spacing w:after="0" w:line="36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通过个人发表报告，学习自我表达能力，培养同学成为优秀金融分析师。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509" w:type="dxa"/>
            <w:gridSpan w:val="4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提问与讲评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" w:type="dxa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15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财报报表分析个人报告(五)</w:t>
            </w:r>
          </w:p>
        </w:tc>
        <w:tc>
          <w:tcPr>
            <w:tcW w:w="565" w:type="dxa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4323" w:type="dxa"/>
            <w:gridSpan w:val="2"/>
            <w:vAlign w:val="center"/>
          </w:tcPr>
          <w:p>
            <w:pPr>
              <w:spacing w:after="0" w:line="360" w:lineRule="exact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选定目标公司进行财务分析</w:t>
            </w:r>
          </w:p>
          <w:p>
            <w:pPr>
              <w:spacing w:after="0" w:line="36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难点：简洁扼要说明投资标的的现况并给与投资建议。</w:t>
            </w:r>
          </w:p>
          <w:p>
            <w:pPr>
              <w:spacing w:after="0" w:line="36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通过个人发表报告，学习自我表达能力，培养同学成为优秀金融分析师。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509" w:type="dxa"/>
            <w:gridSpan w:val="4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提问与讲评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44" w:type="dxa"/>
            <w:gridSpan w:val="3"/>
            <w:vAlign w:val="center"/>
          </w:tcPr>
          <w:p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合计：</w:t>
            </w:r>
          </w:p>
        </w:tc>
        <w:tc>
          <w:tcPr>
            <w:tcW w:w="565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16</w:t>
            </w:r>
          </w:p>
        </w:tc>
        <w:tc>
          <w:tcPr>
            <w:tcW w:w="4323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09" w:type="dxa"/>
            <w:gridSpan w:val="4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4" w:type="dxa"/>
            <w:gridSpan w:val="12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t>考核</w:t>
            </w:r>
            <w:r>
              <w:rPr>
                <w:rFonts w:eastAsia="宋体"/>
                <w:b/>
                <w:szCs w:val="21"/>
                <w:lang w:eastAsia="zh-CN"/>
              </w:rPr>
              <w:t>方法及标准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50" w:type="dxa"/>
            <w:gridSpan w:val="2"/>
            <w:vAlign w:val="center"/>
          </w:tcPr>
          <w:p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>考核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945" w:type="dxa"/>
            <w:gridSpan w:val="5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评价标准</w:t>
            </w:r>
          </w:p>
        </w:tc>
        <w:tc>
          <w:tcPr>
            <w:tcW w:w="1609" w:type="dxa"/>
            <w:gridSpan w:val="5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50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kern w:val="2"/>
                <w:sz w:val="21"/>
                <w:szCs w:val="21"/>
                <w:lang w:eastAsia="zh-CN"/>
              </w:rPr>
              <w:t>到堂情况</w:t>
            </w:r>
          </w:p>
        </w:tc>
        <w:tc>
          <w:tcPr>
            <w:tcW w:w="5945" w:type="dxa"/>
            <w:gridSpan w:val="5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cs="Arial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kern w:val="2"/>
                <w:sz w:val="21"/>
                <w:szCs w:val="21"/>
                <w:lang w:eastAsia="zh-CN"/>
              </w:rPr>
              <w:t>不迟到、不早退、不旷课、不滑手机、不饮食</w:t>
            </w:r>
          </w:p>
        </w:tc>
        <w:tc>
          <w:tcPr>
            <w:tcW w:w="1609" w:type="dxa"/>
            <w:gridSpan w:val="5"/>
            <w:vAlign w:val="center"/>
          </w:tcPr>
          <w:p>
            <w:pPr>
              <w:pStyle w:val="5"/>
              <w:spacing w:before="0" w:beforeAutospacing="0" w:after="0" w:afterAutospacing="0"/>
              <w:ind w:left="187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bCs/>
                <w:kern w:val="2"/>
                <w:sz w:val="21"/>
                <w:szCs w:val="21"/>
              </w:rPr>
              <w:t>10</w:t>
            </w:r>
            <w:r>
              <w:rPr>
                <w:rFonts w:hint="eastAsia" w:cs="Arial" w:asciiTheme="minorEastAsia" w:hAnsiTheme="minorEastAsia" w:eastAsiaTheme="minorEastAsia"/>
                <w:bCs/>
                <w:kern w:val="2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50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kern w:val="2"/>
                <w:sz w:val="21"/>
                <w:szCs w:val="21"/>
                <w:lang w:eastAsia="zh-CN"/>
              </w:rPr>
              <w:t>课</w:t>
            </w:r>
            <w:r>
              <w:rPr>
                <w:rFonts w:hint="eastAsia" w:cs="Arial" w:asciiTheme="minorEastAsia" w:hAnsiTheme="minorEastAsia" w:eastAsiaTheme="minorEastAsia"/>
                <w:bCs/>
                <w:kern w:val="2"/>
                <w:sz w:val="21"/>
                <w:szCs w:val="21"/>
              </w:rPr>
              <w:t>堂讨论</w:t>
            </w:r>
          </w:p>
        </w:tc>
        <w:tc>
          <w:tcPr>
            <w:tcW w:w="5945" w:type="dxa"/>
            <w:gridSpan w:val="5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cs="Arial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eastAsia="zh-CN"/>
              </w:rPr>
              <w:t>案例讨论与分析、演练题</w:t>
            </w:r>
          </w:p>
        </w:tc>
        <w:tc>
          <w:tcPr>
            <w:tcW w:w="1609" w:type="dxa"/>
            <w:gridSpan w:val="5"/>
            <w:vAlign w:val="center"/>
          </w:tcPr>
          <w:p>
            <w:pPr>
              <w:pStyle w:val="5"/>
              <w:spacing w:before="0" w:beforeAutospacing="0" w:after="0" w:afterAutospacing="0"/>
              <w:ind w:left="187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10</w:t>
            </w:r>
            <w:r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50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kern w:val="2"/>
                <w:sz w:val="21"/>
                <w:szCs w:val="21"/>
                <w:lang w:eastAsia="zh-CN"/>
              </w:rPr>
              <w:t>课堂</w:t>
            </w:r>
            <w:r>
              <w:rPr>
                <w:rFonts w:hint="eastAsia" w:cs="Arial" w:asciiTheme="minorEastAsia" w:hAnsiTheme="minorEastAsia" w:eastAsiaTheme="minorEastAsia"/>
                <w:bCs/>
                <w:kern w:val="2"/>
                <w:sz w:val="21"/>
                <w:szCs w:val="21"/>
              </w:rPr>
              <w:t>报告</w:t>
            </w:r>
          </w:p>
        </w:tc>
        <w:tc>
          <w:tcPr>
            <w:tcW w:w="5945" w:type="dxa"/>
            <w:gridSpan w:val="5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cs="Arial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  <w:t>个人报告：财务报表分析</w:t>
            </w:r>
          </w:p>
        </w:tc>
        <w:tc>
          <w:tcPr>
            <w:tcW w:w="1609" w:type="dxa"/>
            <w:gridSpan w:val="5"/>
            <w:vAlign w:val="center"/>
          </w:tcPr>
          <w:p>
            <w:pPr>
              <w:pStyle w:val="5"/>
              <w:spacing w:before="0" w:beforeAutospacing="0" w:after="0" w:afterAutospacing="0"/>
              <w:ind w:left="187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50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kern w:val="2"/>
                <w:sz w:val="21"/>
                <w:szCs w:val="21"/>
                <w:lang w:eastAsia="zh-CN"/>
              </w:rPr>
              <w:t>期中考试</w:t>
            </w:r>
          </w:p>
        </w:tc>
        <w:tc>
          <w:tcPr>
            <w:tcW w:w="5945" w:type="dxa"/>
            <w:gridSpan w:val="5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cs="Arial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  <w:t>根据评分标准评定分数</w:t>
            </w:r>
          </w:p>
        </w:tc>
        <w:tc>
          <w:tcPr>
            <w:tcW w:w="1609" w:type="dxa"/>
            <w:gridSpan w:val="5"/>
            <w:vAlign w:val="center"/>
          </w:tcPr>
          <w:p>
            <w:pPr>
              <w:pStyle w:val="5"/>
              <w:spacing w:before="0" w:beforeAutospacing="0" w:after="0" w:afterAutospacing="0"/>
              <w:ind w:left="187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50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kern w:val="2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5945" w:type="dxa"/>
            <w:gridSpan w:val="5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cs="Arial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  <w:t>根据评分标准评定分数</w:t>
            </w:r>
          </w:p>
        </w:tc>
        <w:tc>
          <w:tcPr>
            <w:tcW w:w="1609" w:type="dxa"/>
            <w:gridSpan w:val="5"/>
            <w:vAlign w:val="center"/>
          </w:tcPr>
          <w:p>
            <w:pPr>
              <w:pStyle w:val="5"/>
              <w:spacing w:before="0" w:beforeAutospacing="0" w:after="0" w:afterAutospacing="0"/>
              <w:ind w:left="187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4" w:type="dxa"/>
            <w:gridSpan w:val="12"/>
            <w:vAlign w:val="center"/>
          </w:tcPr>
          <w:p>
            <w:pPr>
              <w:snapToGrid w:val="0"/>
              <w:spacing w:after="0" w:line="360" w:lineRule="exact"/>
              <w:ind w:left="180"/>
              <w:rPr>
                <w:rFonts w:hint="eastAsia"/>
                <w:b/>
                <w:sz w:val="21"/>
                <w:szCs w:val="21"/>
                <w:lang w:eastAsia="zh-TW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hint="eastAsia"/>
                <w:b/>
                <w:sz w:val="21"/>
                <w:szCs w:val="21"/>
                <w:lang w:eastAsia="zh-TW"/>
              </w:rPr>
              <w:t>2019.09.09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9404" w:type="dxa"/>
            <w:gridSpan w:val="12"/>
          </w:tcPr>
          <w:p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eastAsia="宋体"/>
                <w:b/>
                <w:szCs w:val="21"/>
                <w:lang w:eastAsia="zh-CN"/>
              </w:rPr>
              <w:t>系（部）审查意见：</w:t>
            </w:r>
          </w:p>
          <w:p>
            <w:pPr>
              <w:spacing w:after="0" w:line="360" w:lineRule="exact"/>
              <w:ind w:firstLine="57" w:firstLineChars="2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firstLine="56" w:firstLineChars="2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  <w:bookmarkStart w:id="0" w:name="_GoBack"/>
            <w:r>
              <w:rPr>
                <w:rFonts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2152015</wp:posOffset>
                  </wp:positionH>
                  <wp:positionV relativeFrom="paragraph">
                    <wp:posOffset>167640</wp:posOffset>
                  </wp:positionV>
                  <wp:extent cx="1635125" cy="920750"/>
                  <wp:effectExtent l="0" t="0" r="3175" b="12700"/>
                  <wp:wrapNone/>
                  <wp:docPr id="1" name="图片 1" descr="谢松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谢松霖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125" cy="92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系（部）主任签名：                         日期：      年    月    日</w:t>
            </w:r>
          </w:p>
          <w:p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標楷體">
    <w:altName w:val="宋体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CIDFont + F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E44E3"/>
    <w:multiLevelType w:val="multilevel"/>
    <w:tmpl w:val="676E44E3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1380" w:hanging="480"/>
      </w:pPr>
    </w:lvl>
    <w:lvl w:ilvl="2" w:tentative="0">
      <w:start w:val="1"/>
      <w:numFmt w:val="lowerRoman"/>
      <w:lvlText w:val="%3."/>
      <w:lvlJc w:val="right"/>
      <w:pPr>
        <w:ind w:left="1860" w:hanging="480"/>
      </w:pPr>
    </w:lvl>
    <w:lvl w:ilvl="3" w:tentative="0">
      <w:start w:val="1"/>
      <w:numFmt w:val="decimal"/>
      <w:lvlText w:val="%4."/>
      <w:lvlJc w:val="left"/>
      <w:pPr>
        <w:ind w:left="2340" w:hanging="480"/>
      </w:pPr>
    </w:lvl>
    <w:lvl w:ilvl="4" w:tentative="0">
      <w:start w:val="1"/>
      <w:numFmt w:val="ideographTraditional"/>
      <w:lvlText w:val="%5、"/>
      <w:lvlJc w:val="left"/>
      <w:pPr>
        <w:ind w:left="2820" w:hanging="480"/>
      </w:pPr>
    </w:lvl>
    <w:lvl w:ilvl="5" w:tentative="0">
      <w:start w:val="1"/>
      <w:numFmt w:val="lowerRoman"/>
      <w:lvlText w:val="%6."/>
      <w:lvlJc w:val="right"/>
      <w:pPr>
        <w:ind w:left="3300" w:hanging="480"/>
      </w:pPr>
    </w:lvl>
    <w:lvl w:ilvl="6" w:tentative="0">
      <w:start w:val="1"/>
      <w:numFmt w:val="decimal"/>
      <w:lvlText w:val="%7."/>
      <w:lvlJc w:val="left"/>
      <w:pPr>
        <w:ind w:left="3780" w:hanging="480"/>
      </w:pPr>
    </w:lvl>
    <w:lvl w:ilvl="7" w:tentative="0">
      <w:start w:val="1"/>
      <w:numFmt w:val="ideographTraditional"/>
      <w:lvlText w:val="%8、"/>
      <w:lvlJc w:val="left"/>
      <w:pPr>
        <w:ind w:left="4260" w:hanging="480"/>
      </w:pPr>
    </w:lvl>
    <w:lvl w:ilvl="8" w:tentative="0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2C23799B"/>
    <w:rsid w:val="00001AFD"/>
    <w:rsid w:val="000041EE"/>
    <w:rsid w:val="000132DF"/>
    <w:rsid w:val="00057CB9"/>
    <w:rsid w:val="00061F27"/>
    <w:rsid w:val="0006625D"/>
    <w:rsid w:val="0006698D"/>
    <w:rsid w:val="00074B8E"/>
    <w:rsid w:val="00087B74"/>
    <w:rsid w:val="000B626E"/>
    <w:rsid w:val="000C2D4A"/>
    <w:rsid w:val="000E0AE8"/>
    <w:rsid w:val="00113022"/>
    <w:rsid w:val="00155E5A"/>
    <w:rsid w:val="00171228"/>
    <w:rsid w:val="001B126D"/>
    <w:rsid w:val="001B31E9"/>
    <w:rsid w:val="001C7527"/>
    <w:rsid w:val="001D28E8"/>
    <w:rsid w:val="001E1214"/>
    <w:rsid w:val="001F20BC"/>
    <w:rsid w:val="002111AE"/>
    <w:rsid w:val="00220BD8"/>
    <w:rsid w:val="00227119"/>
    <w:rsid w:val="00234B09"/>
    <w:rsid w:val="00295970"/>
    <w:rsid w:val="002C0D8F"/>
    <w:rsid w:val="002E27E1"/>
    <w:rsid w:val="003044FA"/>
    <w:rsid w:val="003362E2"/>
    <w:rsid w:val="003403E2"/>
    <w:rsid w:val="00352B7D"/>
    <w:rsid w:val="0037561C"/>
    <w:rsid w:val="003C03BB"/>
    <w:rsid w:val="003C66D8"/>
    <w:rsid w:val="003E2BAB"/>
    <w:rsid w:val="003E45C9"/>
    <w:rsid w:val="003E66A6"/>
    <w:rsid w:val="004124E2"/>
    <w:rsid w:val="00414FC8"/>
    <w:rsid w:val="00457E42"/>
    <w:rsid w:val="004A0195"/>
    <w:rsid w:val="004B3994"/>
    <w:rsid w:val="004B7C67"/>
    <w:rsid w:val="004C07A2"/>
    <w:rsid w:val="004D29DE"/>
    <w:rsid w:val="004D4C83"/>
    <w:rsid w:val="004E0481"/>
    <w:rsid w:val="004E7804"/>
    <w:rsid w:val="005639AB"/>
    <w:rsid w:val="005805E8"/>
    <w:rsid w:val="005911D3"/>
    <w:rsid w:val="005B10C8"/>
    <w:rsid w:val="005F174F"/>
    <w:rsid w:val="00631FA7"/>
    <w:rsid w:val="0063410F"/>
    <w:rsid w:val="006544A1"/>
    <w:rsid w:val="0065651C"/>
    <w:rsid w:val="00670375"/>
    <w:rsid w:val="006E1924"/>
    <w:rsid w:val="00733AFF"/>
    <w:rsid w:val="00735FDE"/>
    <w:rsid w:val="00770F0D"/>
    <w:rsid w:val="00776AF2"/>
    <w:rsid w:val="00781F41"/>
    <w:rsid w:val="00785779"/>
    <w:rsid w:val="0079322F"/>
    <w:rsid w:val="007A154B"/>
    <w:rsid w:val="007D53F3"/>
    <w:rsid w:val="00812676"/>
    <w:rsid w:val="008147FF"/>
    <w:rsid w:val="00815F78"/>
    <w:rsid w:val="00825F98"/>
    <w:rsid w:val="00837BA5"/>
    <w:rsid w:val="008512DF"/>
    <w:rsid w:val="00855020"/>
    <w:rsid w:val="0088296A"/>
    <w:rsid w:val="00885EED"/>
    <w:rsid w:val="00892ADC"/>
    <w:rsid w:val="00896971"/>
    <w:rsid w:val="008B4200"/>
    <w:rsid w:val="008F6642"/>
    <w:rsid w:val="00907E3A"/>
    <w:rsid w:val="00917C66"/>
    <w:rsid w:val="00930C61"/>
    <w:rsid w:val="009349EE"/>
    <w:rsid w:val="009A2B5C"/>
    <w:rsid w:val="009B3EAE"/>
    <w:rsid w:val="009C3354"/>
    <w:rsid w:val="009D3079"/>
    <w:rsid w:val="009F076F"/>
    <w:rsid w:val="009F7907"/>
    <w:rsid w:val="00A41C45"/>
    <w:rsid w:val="00A84D68"/>
    <w:rsid w:val="00A85774"/>
    <w:rsid w:val="00AA199F"/>
    <w:rsid w:val="00AB00C2"/>
    <w:rsid w:val="00AE48DD"/>
    <w:rsid w:val="00AF342D"/>
    <w:rsid w:val="00B05FEC"/>
    <w:rsid w:val="00B33509"/>
    <w:rsid w:val="00BA3C95"/>
    <w:rsid w:val="00BA4A97"/>
    <w:rsid w:val="00BB35F5"/>
    <w:rsid w:val="00C06D81"/>
    <w:rsid w:val="00C37EB8"/>
    <w:rsid w:val="00C41D05"/>
    <w:rsid w:val="00C479CB"/>
    <w:rsid w:val="00C705DD"/>
    <w:rsid w:val="00C76FA2"/>
    <w:rsid w:val="00CA1AB8"/>
    <w:rsid w:val="00CC4A46"/>
    <w:rsid w:val="00CC7067"/>
    <w:rsid w:val="00CD2F8F"/>
    <w:rsid w:val="00D1309A"/>
    <w:rsid w:val="00D268B2"/>
    <w:rsid w:val="00D40F3E"/>
    <w:rsid w:val="00D45246"/>
    <w:rsid w:val="00D62B41"/>
    <w:rsid w:val="00DA6E7C"/>
    <w:rsid w:val="00DB45CF"/>
    <w:rsid w:val="00DB5724"/>
    <w:rsid w:val="00DF5733"/>
    <w:rsid w:val="00DF5C03"/>
    <w:rsid w:val="00E00AC0"/>
    <w:rsid w:val="00E0505F"/>
    <w:rsid w:val="00E27C07"/>
    <w:rsid w:val="00E31D91"/>
    <w:rsid w:val="00E413E8"/>
    <w:rsid w:val="00E53E23"/>
    <w:rsid w:val="00E7089B"/>
    <w:rsid w:val="00EA4A7E"/>
    <w:rsid w:val="00EC2295"/>
    <w:rsid w:val="00ED3FCA"/>
    <w:rsid w:val="00F31667"/>
    <w:rsid w:val="00F617C2"/>
    <w:rsid w:val="00F641FD"/>
    <w:rsid w:val="00F96D96"/>
    <w:rsid w:val="00FA0724"/>
    <w:rsid w:val="00FD65B3"/>
    <w:rsid w:val="00FE22C8"/>
    <w:rsid w:val="00FF0E36"/>
    <w:rsid w:val="28AD1D92"/>
    <w:rsid w:val="2C23799B"/>
    <w:rsid w:val="489544D1"/>
    <w:rsid w:val="62602D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Times New Roman" w:hAnsi="Times New Roman" w:eastAsia="PMingLiU" w:cs="Times New Roman"/>
      <w:sz w:val="24"/>
      <w:szCs w:val="22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/>
      <w:jc w:val="left"/>
    </w:pPr>
    <w:rPr>
      <w:rFonts w:ascii="PMingLiU" w:hAnsi="PMingLiU" w:cs="PMingLiU"/>
      <w:szCs w:val="24"/>
      <w:lang w:eastAsia="zh-TW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uiPriority w:val="0"/>
    <w:rPr>
      <w:color w:val="0563C1" w:themeColor="hyperlink"/>
      <w:u w:val="single"/>
    </w:rPr>
  </w:style>
  <w:style w:type="paragraph" w:customStyle="1" w:styleId="11">
    <w:name w:val="列出段落1"/>
    <w:basedOn w:val="1"/>
    <w:qFormat/>
    <w:uiPriority w:val="34"/>
    <w:pPr>
      <w:widowControl w:val="0"/>
      <w:spacing w:after="0"/>
      <w:ind w:left="480" w:leftChars="200"/>
      <w:jc w:val="left"/>
    </w:pPr>
    <w:rPr>
      <w:rFonts w:ascii="Calibri" w:hAnsi="Calibri" w:eastAsia="標楷體"/>
      <w:kern w:val="2"/>
      <w:lang w:eastAsia="zh-TW"/>
    </w:rPr>
  </w:style>
  <w:style w:type="character" w:customStyle="1" w:styleId="12">
    <w:name w:val="fontstyle01"/>
    <w:basedOn w:val="8"/>
    <w:uiPriority w:val="0"/>
    <w:rPr>
      <w:rFonts w:ascii="CIDFont + F2" w:hAnsi="CIDFont + F2" w:eastAsia="CIDFont + F2" w:cs="CIDFont + F2"/>
      <w:color w:val="000000"/>
      <w:sz w:val="20"/>
      <w:szCs w:val="20"/>
    </w:rPr>
  </w:style>
  <w:style w:type="character" w:customStyle="1" w:styleId="13">
    <w:name w:val="頁首 字元"/>
    <w:basedOn w:val="8"/>
    <w:link w:val="4"/>
    <w:uiPriority w:val="0"/>
    <w:rPr>
      <w:rFonts w:eastAsia="PMingLiU"/>
      <w:sz w:val="18"/>
      <w:szCs w:val="18"/>
      <w:lang w:eastAsia="en-US"/>
    </w:rPr>
  </w:style>
  <w:style w:type="character" w:customStyle="1" w:styleId="14">
    <w:name w:val="頁尾 字元"/>
    <w:basedOn w:val="8"/>
    <w:link w:val="3"/>
    <w:uiPriority w:val="0"/>
    <w:rPr>
      <w:rFonts w:eastAsia="PMingLiU"/>
      <w:sz w:val="18"/>
      <w:szCs w:val="18"/>
      <w:lang w:eastAsia="en-US"/>
    </w:rPr>
  </w:style>
  <w:style w:type="paragraph" w:styleId="15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6">
    <w:name w:val="註解方塊文字 字元"/>
    <w:basedOn w:val="8"/>
    <w:link w:val="2"/>
    <w:uiPriority w:val="0"/>
    <w:rPr>
      <w:rFonts w:eastAsia="PMingLiU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5C9961-A251-42F9-9E5B-9A034F320F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522</Words>
  <Characters>2979</Characters>
  <Lines>24</Lines>
  <Paragraphs>6</Paragraphs>
  <TotalTime>1288</TotalTime>
  <ScaleCrop>false</ScaleCrop>
  <LinksUpToDate>false</LinksUpToDate>
  <CharactersWithSpaces>3495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2017-09-01T07:23:00Z</dcterms:created>
  <dc:creator>lenovo</dc:creator>
  <cp:lastModifiedBy>落情湖</cp:lastModifiedBy>
  <cp:lastPrinted>2017-01-05T16:24:00Z</cp:lastPrinted>
  <dcterms:modified xsi:type="dcterms:W3CDTF">2019-09-27T03:07:13Z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