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b/>
          <w:sz w:val="32"/>
          <w:szCs w:val="32"/>
          <w:lang w:eastAsia="zh-CN"/>
        </w:rPr>
      </w:pPr>
      <w:r>
        <w:rPr>
          <w:rFonts w:hint="eastAsia" w:eastAsiaTheme="minorEastAsia"/>
          <w:b/>
          <w:sz w:val="32"/>
          <w:szCs w:val="32"/>
          <w:lang w:eastAsia="zh-CN"/>
        </w:rPr>
        <w:t>《应用金融</w:t>
      </w:r>
      <w:r>
        <w:rPr>
          <w:rFonts w:eastAsiaTheme="minorEastAsia"/>
          <w:b/>
          <w:sz w:val="32"/>
          <w:szCs w:val="32"/>
          <w:lang w:eastAsia="zh-CN"/>
        </w:rPr>
        <w:t>1</w:t>
      </w:r>
      <w:r>
        <w:rPr>
          <w:rFonts w:hint="eastAsia" w:eastAsiaTheme="minorEastAsia"/>
          <w:b/>
          <w:sz w:val="32"/>
          <w:szCs w:val="32"/>
          <w:lang w:eastAsia="zh-CN"/>
        </w:rPr>
        <w:t>》课程教学大纲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60"/>
        <w:gridCol w:w="369"/>
        <w:gridCol w:w="623"/>
        <w:gridCol w:w="1550"/>
        <w:gridCol w:w="1665"/>
        <w:gridCol w:w="45"/>
        <w:gridCol w:w="851"/>
        <w:gridCol w:w="708"/>
        <w:gridCol w:w="4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课程名称：</w:t>
            </w:r>
            <w:r>
              <w:rPr>
                <w:rFonts w:hint="eastAsia" w:ascii="PMingLiU" w:hAnsi="PMingLiU" w:eastAsia="宋体"/>
                <w:b/>
                <w:sz w:val="21"/>
                <w:szCs w:val="21"/>
                <w:lang w:eastAsia="zh-CN"/>
              </w:rPr>
              <w:t>应用金融</w:t>
            </w:r>
            <w:r>
              <w:rPr>
                <w:rFonts w:ascii="PMingLiU" w:hAnsi="PMingLiU" w:eastAsia="宋体"/>
                <w:b/>
                <w:sz w:val="21"/>
                <w:szCs w:val="21"/>
                <w:lang w:eastAsia="zh-CN"/>
              </w:rPr>
              <w:t>1</w:t>
            </w:r>
          </w:p>
        </w:tc>
        <w:tc>
          <w:tcPr>
            <w:tcW w:w="4850" w:type="dxa"/>
            <w:gridSpan w:val="6"/>
            <w:vAlign w:val="center"/>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课程类别（必修</w:t>
            </w:r>
            <w:r>
              <w:rPr>
                <w:rFonts w:ascii="宋体" w:hAnsi="宋体" w:eastAsia="宋体"/>
                <w:b/>
                <w:sz w:val="21"/>
                <w:szCs w:val="21"/>
                <w:lang w:eastAsia="zh-CN"/>
              </w:rPr>
              <w:t>/</w:t>
            </w:r>
            <w:r>
              <w:rPr>
                <w:rFonts w:hint="eastAsia" w:ascii="宋体" w:hAnsi="宋体" w:eastAsia="宋体"/>
                <w:b/>
                <w:sz w:val="21"/>
                <w:szCs w:val="21"/>
                <w:lang w:eastAsia="zh-CN"/>
              </w:rPr>
              <w:t>选修）：专业必修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课程英文名称：</w:t>
            </w:r>
            <w:r>
              <w:rPr>
                <w:rStyle w:val="16"/>
                <w:rFonts w:eastAsia="宋体"/>
                <w:lang w:eastAsia="zh-CN"/>
              </w:rPr>
              <w:t>Applied finance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line="0" w:lineRule="atLeast"/>
              <w:outlineLvl w:val="0"/>
              <w:rPr>
                <w:rFonts w:ascii="宋体" w:hAnsi="宋体" w:eastAsia="宋体"/>
                <w:b/>
                <w:sz w:val="21"/>
                <w:szCs w:val="21"/>
              </w:rPr>
            </w:pPr>
            <w:r>
              <w:rPr>
                <w:rFonts w:hint="eastAsia" w:ascii="宋体" w:hAnsi="宋体" w:eastAsia="宋体"/>
                <w:b/>
                <w:sz w:val="21"/>
                <w:szCs w:val="21"/>
                <w:lang w:eastAsia="zh-CN"/>
              </w:rPr>
              <w:t>总学时</w:t>
            </w:r>
            <w:r>
              <w:rPr>
                <w:rFonts w:ascii="宋体" w:hAnsi="宋体" w:eastAsia="宋体"/>
                <w:b/>
                <w:sz w:val="21"/>
                <w:szCs w:val="21"/>
                <w:lang w:eastAsia="zh-CN"/>
              </w:rPr>
              <w:t>/</w:t>
            </w:r>
            <w:r>
              <w:rPr>
                <w:rFonts w:hint="eastAsia" w:ascii="宋体" w:hAnsi="宋体" w:eastAsia="宋体"/>
                <w:b/>
                <w:sz w:val="21"/>
                <w:szCs w:val="21"/>
                <w:lang w:eastAsia="zh-CN"/>
              </w:rPr>
              <w:t>周学时</w:t>
            </w:r>
            <w:r>
              <w:rPr>
                <w:rFonts w:ascii="宋体" w:hAnsi="宋体" w:eastAsia="宋体"/>
                <w:b/>
                <w:sz w:val="21"/>
                <w:szCs w:val="21"/>
                <w:lang w:eastAsia="zh-CN"/>
              </w:rPr>
              <w:t>/</w:t>
            </w:r>
            <w:r>
              <w:rPr>
                <w:rFonts w:hint="eastAsia" w:ascii="宋体" w:hAnsi="宋体" w:eastAsia="宋体"/>
                <w:b/>
                <w:sz w:val="21"/>
                <w:szCs w:val="21"/>
                <w:lang w:eastAsia="zh-CN"/>
              </w:rPr>
              <w:t>学分：</w:t>
            </w:r>
            <w:r>
              <w:rPr>
                <w:rFonts w:ascii="宋体" w:hAnsi="宋体" w:eastAsia="宋体"/>
                <w:b/>
                <w:sz w:val="21"/>
                <w:szCs w:val="21"/>
                <w:lang w:eastAsia="zh-CN"/>
              </w:rPr>
              <w:t>48/3/3</w:t>
            </w:r>
          </w:p>
        </w:tc>
        <w:tc>
          <w:tcPr>
            <w:tcW w:w="4850" w:type="dxa"/>
            <w:gridSpan w:val="6"/>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其中实验学时：</w:t>
            </w:r>
            <w:r>
              <w:rPr>
                <w:rFonts w:ascii="宋体" w:hAnsi="宋体" w:eastAsia="宋体"/>
                <w:b/>
                <w:sz w:val="21"/>
                <w:szCs w:val="21"/>
                <w:lang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先修课程：</w:t>
            </w:r>
            <w:r>
              <w:rPr>
                <w:rFonts w:hint="eastAsia" w:ascii="PMingLiU" w:hAnsi="PMingLiU" w:eastAsia="宋体"/>
                <w:b/>
                <w:sz w:val="21"/>
                <w:szCs w:val="21"/>
                <w:lang w:eastAsia="zh-CN"/>
              </w:rPr>
              <w:t>微观经济学、宏观经济学</w:t>
            </w:r>
          </w:p>
        </w:tc>
        <w:tc>
          <w:tcPr>
            <w:tcW w:w="4850" w:type="dxa"/>
            <w:gridSpan w:val="6"/>
          </w:tcPr>
          <w:p>
            <w:pPr>
              <w:tabs>
                <w:tab w:val="left" w:pos="1440"/>
              </w:tabs>
              <w:spacing w:after="0" w:line="0" w:lineRule="atLeast"/>
              <w:outlineLvl w:val="0"/>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line="0" w:lineRule="atLeast"/>
              <w:outlineLvl w:val="0"/>
              <w:rPr>
                <w:rFonts w:ascii="宋体" w:hAnsi="宋体" w:eastAsia="宋体"/>
                <w:b/>
                <w:sz w:val="21"/>
                <w:szCs w:val="21"/>
              </w:rPr>
            </w:pPr>
            <w:r>
              <w:rPr>
                <w:rFonts w:hint="eastAsia" w:ascii="宋体" w:hAnsi="宋体" w:eastAsia="宋体"/>
                <w:b/>
                <w:sz w:val="21"/>
                <w:szCs w:val="21"/>
                <w:lang w:eastAsia="zh-CN"/>
              </w:rPr>
              <w:t>授课时间：周</w:t>
            </w:r>
            <w:r>
              <w:rPr>
                <w:rFonts w:hint="eastAsia" w:ascii="PMingLiU" w:hAnsi="PMingLiU" w:eastAsia="宋体"/>
                <w:b/>
                <w:sz w:val="21"/>
                <w:szCs w:val="21"/>
                <w:lang w:eastAsia="zh-CN"/>
              </w:rPr>
              <w:t>一</w:t>
            </w:r>
            <w:r>
              <w:rPr>
                <w:rFonts w:ascii="宋体" w:hAnsi="宋体" w:eastAsia="宋体"/>
                <w:b/>
                <w:sz w:val="21"/>
                <w:szCs w:val="21"/>
                <w:lang w:eastAsia="zh-CN"/>
              </w:rPr>
              <w:t>/1-3节</w:t>
            </w:r>
          </w:p>
        </w:tc>
        <w:tc>
          <w:tcPr>
            <w:tcW w:w="4850" w:type="dxa"/>
            <w:gridSpan w:val="6"/>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授课地点：实验楼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9401" w:type="dxa"/>
            <w:gridSpan w:val="11"/>
            <w:vAlign w:val="center"/>
          </w:tcPr>
          <w:p>
            <w:pPr>
              <w:tabs>
                <w:tab w:val="left" w:pos="1440"/>
              </w:tabs>
              <w:spacing w:line="0" w:lineRule="atLeast"/>
              <w:outlineLvl w:val="0"/>
              <w:rPr>
                <w:rFonts w:ascii="宋体" w:hAnsi="宋体"/>
                <w:b/>
                <w:sz w:val="21"/>
                <w:szCs w:val="21"/>
                <w:lang w:eastAsia="zh-CN"/>
              </w:rPr>
            </w:pPr>
            <w:r>
              <w:rPr>
                <w:rFonts w:hint="eastAsia" w:ascii="宋体" w:hAnsi="宋体" w:eastAsia="宋体"/>
                <w:b/>
                <w:sz w:val="21"/>
                <w:szCs w:val="21"/>
                <w:lang w:eastAsia="zh-CN"/>
              </w:rPr>
              <w:t>授课对象：</w:t>
            </w:r>
            <w:r>
              <w:rPr>
                <w:rFonts w:ascii="宋体" w:hAnsi="宋体" w:eastAsia="宋体"/>
                <w:b/>
                <w:sz w:val="21"/>
                <w:szCs w:val="21"/>
                <w:lang w:eastAsia="zh-CN"/>
              </w:rPr>
              <w:t>2019</w:t>
            </w:r>
            <w:r>
              <w:rPr>
                <w:rFonts w:hint="eastAsia" w:ascii="宋体" w:hAnsi="宋体" w:eastAsia="宋体"/>
                <w:b/>
                <w:sz w:val="21"/>
                <w:szCs w:val="21"/>
                <w:lang w:eastAsia="zh-CN"/>
              </w:rPr>
              <w:t>级经济与金融专业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开课院系：粤台产业科技学院经济与金融</w:t>
            </w:r>
            <w:r>
              <w:rPr>
                <w:rFonts w:hint="eastAsia" w:ascii="PMingLiU" w:hAnsi="PMingLiU" w:eastAsia="宋体"/>
                <w:b/>
                <w:sz w:val="21"/>
                <w:szCs w:val="21"/>
                <w:lang w:eastAsia="zh-CN"/>
              </w:rPr>
              <w:t>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任课教师姓名</w:t>
            </w:r>
            <w:r>
              <w:rPr>
                <w:rFonts w:ascii="宋体" w:hAnsi="宋体" w:eastAsia="宋体"/>
                <w:b/>
                <w:sz w:val="21"/>
                <w:szCs w:val="21"/>
                <w:lang w:eastAsia="zh-CN"/>
              </w:rPr>
              <w:t>/</w:t>
            </w:r>
            <w:r>
              <w:rPr>
                <w:rFonts w:hint="eastAsia" w:ascii="宋体" w:hAnsi="宋体" w:eastAsia="宋体"/>
                <w:b/>
                <w:sz w:val="21"/>
                <w:szCs w:val="21"/>
                <w:lang w:eastAsia="zh-CN"/>
              </w:rPr>
              <w:t>职称：谢松霖</w:t>
            </w:r>
            <w:r>
              <w:rPr>
                <w:rFonts w:ascii="宋体" w:hAnsi="宋体" w:eastAsia="宋体"/>
                <w:b/>
                <w:sz w:val="21"/>
                <w:szCs w:val="21"/>
                <w:lang w:eastAsia="zh-CN"/>
              </w:rPr>
              <w:t>/</w:t>
            </w:r>
            <w:r>
              <w:rPr>
                <w:rFonts w:hint="eastAsia" w:ascii="宋体" w:hAnsi="宋体" w:eastAsia="宋体"/>
                <w:b/>
                <w:sz w:val="21"/>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line="0" w:lineRule="atLeast"/>
              <w:outlineLvl w:val="0"/>
              <w:rPr>
                <w:rFonts w:ascii="宋体" w:hAnsi="宋体"/>
                <w:b/>
                <w:sz w:val="21"/>
                <w:szCs w:val="21"/>
                <w:lang w:eastAsia="zh-TW"/>
              </w:rPr>
            </w:pPr>
            <w:r>
              <w:rPr>
                <w:rFonts w:hint="eastAsia" w:ascii="宋体" w:hAnsi="宋体" w:eastAsia="宋体"/>
                <w:b/>
                <w:sz w:val="21"/>
                <w:szCs w:val="21"/>
                <w:lang w:eastAsia="zh-CN"/>
              </w:rPr>
              <w:t>联系电话：</w:t>
            </w:r>
            <w:r>
              <w:rPr>
                <w:rFonts w:ascii="宋体" w:hAnsi="宋体" w:eastAsia="宋体"/>
                <w:b/>
                <w:sz w:val="21"/>
                <w:szCs w:val="21"/>
                <w:lang w:eastAsia="zh-CN"/>
              </w:rPr>
              <w:t>13539025375</w:t>
            </w:r>
          </w:p>
        </w:tc>
        <w:tc>
          <w:tcPr>
            <w:tcW w:w="4850" w:type="dxa"/>
            <w:gridSpan w:val="6"/>
            <w:vAlign w:val="center"/>
          </w:tcPr>
          <w:p>
            <w:pPr>
              <w:tabs>
                <w:tab w:val="left" w:pos="1440"/>
              </w:tabs>
              <w:spacing w:line="0" w:lineRule="atLeast"/>
              <w:outlineLvl w:val="0"/>
              <w:rPr>
                <w:rFonts w:ascii="宋体" w:hAnsi="宋体" w:eastAsia="宋体"/>
                <w:b/>
                <w:sz w:val="21"/>
                <w:szCs w:val="21"/>
              </w:rPr>
            </w:pPr>
            <w:r>
              <w:rPr>
                <w:rFonts w:ascii="宋体" w:hAnsi="宋体" w:eastAsia="宋体"/>
                <w:b/>
                <w:sz w:val="21"/>
                <w:szCs w:val="21"/>
                <w:lang w:eastAsia="zh-CN"/>
              </w:rPr>
              <w:t>Email:handsomesony@126.com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答疑时间、地点与方式：周二</w:t>
            </w:r>
            <w:r>
              <w:rPr>
                <w:rFonts w:ascii="宋体" w:hAnsi="宋体" w:eastAsia="宋体"/>
                <w:b/>
                <w:sz w:val="21"/>
                <w:szCs w:val="21"/>
                <w:lang w:eastAsia="zh-CN"/>
              </w:rPr>
              <w:t xml:space="preserve">, </w:t>
            </w:r>
            <w:r>
              <w:rPr>
                <w:rFonts w:hint="eastAsia" w:ascii="宋体" w:hAnsi="宋体" w:eastAsia="宋体"/>
                <w:b/>
                <w:sz w:val="21"/>
                <w:szCs w:val="21"/>
                <w:lang w:eastAsia="zh-CN"/>
              </w:rPr>
              <w:t>周</w:t>
            </w:r>
            <w:r>
              <w:rPr>
                <w:rFonts w:hint="eastAsia" w:ascii="PMingLiU" w:hAnsi="PMingLiU" w:eastAsia="宋体"/>
                <w:b/>
                <w:sz w:val="21"/>
                <w:szCs w:val="21"/>
                <w:lang w:eastAsia="zh-CN"/>
              </w:rPr>
              <w:t>三</w:t>
            </w:r>
            <w:r>
              <w:rPr>
                <w:rFonts w:hint="eastAsia" w:ascii="宋体" w:hAnsi="宋体" w:eastAsia="宋体"/>
                <w:b/>
                <w:sz w:val="21"/>
                <w:szCs w:val="21"/>
                <w:lang w:eastAsia="zh-CN"/>
              </w:rPr>
              <w:t>全天</w:t>
            </w:r>
            <w:r>
              <w:rPr>
                <w:rFonts w:ascii="宋体" w:hAnsi="宋体" w:eastAsia="宋体"/>
                <w:b/>
                <w:sz w:val="21"/>
                <w:szCs w:val="21"/>
                <w:lang w:eastAsia="zh-CN"/>
              </w:rPr>
              <w:t>/</w:t>
            </w:r>
            <w:r>
              <w:rPr>
                <w:rFonts w:hint="eastAsia" w:ascii="PMingLiU" w:hAnsi="PMingLiU" w:eastAsia="宋体"/>
                <w:b/>
                <w:sz w:val="21"/>
                <w:szCs w:val="21"/>
                <w:lang w:eastAsia="zh-CN"/>
              </w:rPr>
              <w:t>实验楼</w:t>
            </w:r>
            <w:r>
              <w:rPr>
                <w:rFonts w:ascii="宋体" w:hAnsi="宋体" w:eastAsia="宋体"/>
                <w:b/>
                <w:sz w:val="21"/>
                <w:szCs w:val="21"/>
                <w:lang w:eastAsia="zh-CN"/>
              </w:rPr>
              <w:t>203</w:t>
            </w:r>
            <w:r>
              <w:rPr>
                <w:rFonts w:hint="eastAsia" w:ascii="宋体" w:hAnsi="宋体" w:eastAsia="宋体"/>
                <w:b/>
                <w:sz w:val="21"/>
                <w:szCs w:val="21"/>
                <w:lang w:eastAsia="zh-CN"/>
              </w:rPr>
              <w:t>办公室</w:t>
            </w:r>
            <w:r>
              <w:rPr>
                <w:rFonts w:ascii="宋体" w:hAnsi="宋体" w:eastAsia="宋体"/>
                <w:b/>
                <w:sz w:val="21"/>
                <w:szCs w:val="21"/>
                <w:lang w:eastAsia="zh-CN"/>
              </w:rPr>
              <w:t>/</w:t>
            </w:r>
            <w:r>
              <w:rPr>
                <w:rFonts w:hint="eastAsia" w:ascii="宋体" w:hAnsi="宋体" w:eastAsia="宋体"/>
                <w:b/>
                <w:sz w:val="21"/>
                <w:szCs w:val="21"/>
                <w:lang w:eastAsia="zh-CN"/>
              </w:rPr>
              <w:t>面授与讨论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w:t>
            </w:r>
            <w:r>
              <w:rPr>
                <w:rFonts w:hint="eastAsia" w:ascii="宋体" w:hAnsi="宋体" w:eastAsia="宋体"/>
                <w:sz w:val="21"/>
                <w:szCs w:val="21"/>
                <w:lang w:eastAsia="zh-CN"/>
              </w:rPr>
              <w:t>闭卷</w:t>
            </w:r>
            <w:r>
              <w:rPr>
                <w:rFonts w:hint="eastAsia" w:ascii="宋体" w:hAnsi="宋体" w:eastAsia="宋体"/>
                <w:b/>
                <w:sz w:val="21"/>
                <w:szCs w:val="21"/>
                <w:lang w:eastAsia="zh-CN"/>
              </w:rPr>
              <w:t>（）</w:t>
            </w:r>
            <w:r>
              <w:rPr>
                <w:rFonts w:hint="eastAsia" w:ascii="宋体" w:hAnsi="宋体" w:eastAsia="宋体"/>
                <w:sz w:val="21"/>
                <w:szCs w:val="21"/>
                <w:lang w:eastAsia="zh-CN"/>
              </w:rPr>
              <w:t>课程论文</w:t>
            </w:r>
            <w:r>
              <w:rPr>
                <w:rFonts w:hint="eastAsia" w:ascii="宋体" w:hAnsi="宋体" w:eastAsia="宋体"/>
                <w:b/>
                <w:sz w:val="21"/>
                <w:szCs w:val="21"/>
                <w:lang w:eastAsia="zh-CN"/>
              </w:rPr>
              <w:t>（）</w:t>
            </w:r>
            <w:r>
              <w:rPr>
                <w:rFonts w:hint="eastAsia" w:ascii="宋体" w:hAnsi="宋体" w:eastAsia="宋体"/>
                <w:sz w:val="21"/>
                <w:szCs w:val="21"/>
                <w:lang w:eastAsia="zh-CN"/>
              </w:rPr>
              <w:t>其它</w:t>
            </w:r>
            <w:r>
              <w:rPr>
                <w:rFonts w:hint="eastAsia" w:ascii="宋体" w:hAnsi="宋体"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sz w:val="21"/>
                <w:szCs w:val="21"/>
                <w:lang w:eastAsia="zh-TW"/>
              </w:rPr>
            </w:pPr>
            <w:r>
              <w:rPr>
                <w:rFonts w:hint="eastAsia" w:ascii="宋体" w:hAnsi="宋体" w:eastAsia="宋体"/>
                <w:b/>
                <w:bCs/>
                <w:sz w:val="21"/>
                <w:szCs w:val="21"/>
                <w:lang w:eastAsia="zh-CN"/>
              </w:rPr>
              <w:t>使用教材：</w:t>
            </w:r>
            <w:r>
              <w:rPr>
                <w:rFonts w:hint="eastAsia" w:ascii="宋体" w:hAnsi="宋体" w:eastAsia="宋体"/>
                <w:sz w:val="21"/>
                <w:szCs w:val="21"/>
                <w:lang w:eastAsia="zh-CN"/>
              </w:rPr>
              <w:t>《风险管理与金融机构》，第</w:t>
            </w:r>
            <w:r>
              <w:rPr>
                <w:rFonts w:ascii="宋体" w:hAnsi="宋体" w:eastAsia="宋体"/>
                <w:sz w:val="21"/>
                <w:szCs w:val="21"/>
                <w:lang w:eastAsia="zh-CN"/>
              </w:rPr>
              <w:t>4</w:t>
            </w:r>
            <w:r>
              <w:rPr>
                <w:rFonts w:hint="eastAsia" w:ascii="宋体" w:hAnsi="宋体" w:eastAsia="宋体"/>
                <w:sz w:val="21"/>
                <w:szCs w:val="21"/>
                <w:lang w:eastAsia="zh-CN"/>
              </w:rPr>
              <w:t>版，</w:t>
            </w:r>
            <w:r>
              <w:rPr>
                <w:rFonts w:ascii="宋体" w:hAnsi="宋体" w:eastAsia="宋体"/>
                <w:sz w:val="21"/>
                <w:szCs w:val="21"/>
                <w:lang w:eastAsia="zh-CN"/>
              </w:rPr>
              <w:t>(</w:t>
            </w:r>
            <w:r>
              <w:rPr>
                <w:rFonts w:hint="eastAsia" w:ascii="宋体" w:hAnsi="宋体" w:eastAsia="宋体"/>
                <w:sz w:val="21"/>
                <w:szCs w:val="21"/>
                <w:lang w:eastAsia="zh-CN"/>
              </w:rPr>
              <w:t>加</w:t>
            </w:r>
            <w:r>
              <w:rPr>
                <w:rFonts w:ascii="宋体" w:hAnsi="宋体" w:eastAsia="宋体"/>
                <w:sz w:val="21"/>
                <w:szCs w:val="21"/>
                <w:lang w:eastAsia="zh-CN"/>
              </w:rPr>
              <w:t>)</w:t>
            </w:r>
            <w:r>
              <w:rPr>
                <w:rFonts w:hint="eastAsia" w:ascii="PMingLiU" w:hAnsi="PMingLiU" w:eastAsia="宋体"/>
                <w:sz w:val="21"/>
                <w:szCs w:val="21"/>
                <w:lang w:eastAsia="zh-CN"/>
              </w:rPr>
              <w:t>约翰</w:t>
            </w:r>
            <w:r>
              <w:rPr>
                <w:rFonts w:ascii="PMingLiU" w:hAnsi="PMingLiU" w:eastAsia="宋体"/>
                <w:sz w:val="21"/>
                <w:szCs w:val="21"/>
                <w:lang w:eastAsia="zh-CN"/>
              </w:rPr>
              <w:t>.</w:t>
            </w:r>
            <w:r>
              <w:rPr>
                <w:rFonts w:hint="eastAsia" w:ascii="宋体" w:hAnsi="宋体" w:eastAsia="宋体"/>
                <w:sz w:val="21"/>
                <w:szCs w:val="21"/>
                <w:lang w:eastAsia="zh-CN"/>
              </w:rPr>
              <w:t>赫尔，王勇</w:t>
            </w:r>
            <w:r>
              <w:rPr>
                <w:rFonts w:hint="eastAsia" w:ascii="宋体" w:hAnsi="宋体" w:eastAsiaTheme="minorEastAsia"/>
                <w:sz w:val="21"/>
                <w:szCs w:val="21"/>
                <w:lang w:eastAsia="zh-CN"/>
              </w:rPr>
              <w:t>译</w:t>
            </w:r>
            <w:r>
              <w:rPr>
                <w:rFonts w:hint="eastAsia" w:ascii="宋体" w:hAnsi="宋体" w:eastAsia="宋体"/>
                <w:sz w:val="21"/>
                <w:szCs w:val="21"/>
                <w:lang w:eastAsia="zh-CN"/>
              </w:rPr>
              <w:t>，机械工业出版社，</w:t>
            </w:r>
            <w:r>
              <w:rPr>
                <w:rFonts w:ascii="宋体" w:hAnsi="宋体" w:eastAsia="宋体"/>
                <w:sz w:val="21"/>
                <w:szCs w:val="21"/>
                <w:lang w:eastAsia="zh-CN"/>
              </w:rPr>
              <w:t>201</w:t>
            </w:r>
            <w:r>
              <w:rPr>
                <w:rFonts w:ascii="PMingLiU" w:hAnsi="PMingLiU" w:eastAsia="宋体"/>
                <w:sz w:val="21"/>
                <w:szCs w:val="21"/>
                <w:lang w:eastAsia="zh-CN"/>
              </w:rPr>
              <w:t>8</w:t>
            </w:r>
            <w:r>
              <w:rPr>
                <w:rFonts w:hint="eastAsia" w:ascii="宋体" w:hAnsi="宋体" w:eastAsia="宋体"/>
                <w:sz w:val="21"/>
                <w:szCs w:val="21"/>
                <w:lang w:eastAsia="zh-CN"/>
              </w:rPr>
              <w:t>年。</w:t>
            </w:r>
          </w:p>
          <w:p>
            <w:pPr>
              <w:tabs>
                <w:tab w:val="left" w:pos="1440"/>
              </w:tabs>
              <w:spacing w:after="0" w:line="0" w:lineRule="atLeast"/>
              <w:outlineLvl w:val="0"/>
              <w:rPr>
                <w:rFonts w:ascii="宋体" w:hAnsi="宋体"/>
                <w:sz w:val="21"/>
                <w:szCs w:val="21"/>
                <w:lang w:eastAsia="zh-TW"/>
              </w:rPr>
            </w:pPr>
            <w:r>
              <w:rPr>
                <w:rFonts w:ascii="宋体" w:hAnsi="宋体" w:eastAsia="宋体"/>
                <w:sz w:val="21"/>
                <w:szCs w:val="21"/>
                <w:lang w:eastAsia="zh-CN"/>
              </w:rPr>
              <w:t>ISBN 9787111593362</w:t>
            </w:r>
          </w:p>
          <w:p>
            <w:pPr>
              <w:tabs>
                <w:tab w:val="left" w:pos="1440"/>
              </w:tabs>
              <w:spacing w:after="0" w:line="0" w:lineRule="atLeast"/>
              <w:outlineLvl w:val="0"/>
              <w:rPr>
                <w:rFonts w:ascii="宋体" w:hAnsi="宋体"/>
                <w:b/>
                <w:sz w:val="21"/>
                <w:szCs w:val="21"/>
                <w:lang w:eastAsia="zh-CN"/>
              </w:rPr>
            </w:pPr>
            <w:r>
              <w:rPr>
                <w:rFonts w:hint="eastAsia" w:ascii="宋体" w:hAnsi="宋体" w:eastAsia="宋体"/>
                <w:b/>
                <w:bCs/>
                <w:sz w:val="21"/>
                <w:szCs w:val="21"/>
                <w:lang w:eastAsia="zh-CN"/>
              </w:rPr>
              <w:t>教学参考资料：</w:t>
            </w:r>
          </w:p>
          <w:p>
            <w:pPr>
              <w:widowControl w:val="0"/>
              <w:numPr>
                <w:ilvl w:val="0"/>
                <w:numId w:val="1"/>
              </w:numPr>
              <w:tabs>
                <w:tab w:val="left" w:pos="1440"/>
              </w:tabs>
              <w:spacing w:after="0" w:line="0" w:lineRule="atLeast"/>
              <w:outlineLvl w:val="0"/>
              <w:rPr>
                <w:rFonts w:hint="eastAsia" w:ascii="宋体" w:hAnsi="宋体" w:eastAsia="宋体"/>
                <w:sz w:val="21"/>
                <w:szCs w:val="21"/>
                <w:lang w:eastAsia="zh-CN"/>
              </w:rPr>
            </w:pPr>
            <w:r>
              <w:rPr>
                <w:rFonts w:ascii="宋体" w:hAnsi="宋体" w:eastAsia="宋体"/>
                <w:sz w:val="21"/>
                <w:szCs w:val="21"/>
                <w:lang w:eastAsia="zh-CN"/>
              </w:rPr>
              <w:t>Mutual Funds: Portfolio Structures, Analysis, Management, and Stewardship;</w:t>
            </w:r>
            <w:r>
              <w:rPr>
                <w:rFonts w:ascii="宋体" w:hAnsi="宋体" w:eastAsia="宋体"/>
                <w:sz w:val="21"/>
                <w:szCs w:val="21"/>
                <w:lang w:eastAsia="zh-CN"/>
              </w:rPr>
              <w:br w:type="textWrapping"/>
            </w:r>
            <w:r>
              <w:rPr>
                <w:rFonts w:ascii="宋体" w:hAnsi="宋体" w:eastAsia="宋体"/>
                <w:sz w:val="21"/>
                <w:szCs w:val="21"/>
                <w:lang w:eastAsia="zh-CN"/>
              </w:rPr>
              <w:t>John A. Haslem; Publisher: Wiley; 2009</w:t>
            </w:r>
          </w:p>
          <w:p>
            <w:pPr>
              <w:widowControl w:val="0"/>
              <w:numPr>
                <w:ilvl w:val="0"/>
                <w:numId w:val="1"/>
              </w:numPr>
              <w:tabs>
                <w:tab w:val="left" w:pos="1440"/>
              </w:tabs>
              <w:spacing w:after="0" w:line="0" w:lineRule="atLeast"/>
              <w:outlineLvl w:val="0"/>
              <w:rPr>
                <w:rFonts w:hint="eastAsia" w:ascii="宋体" w:hAnsi="宋体" w:eastAsia="宋体"/>
                <w:sz w:val="21"/>
                <w:szCs w:val="21"/>
                <w:lang w:eastAsia="zh-CN"/>
              </w:rPr>
            </w:pPr>
            <w:r>
              <w:rPr>
                <w:rFonts w:ascii="宋体" w:hAnsi="宋体" w:eastAsia="宋体"/>
                <w:sz w:val="21"/>
                <w:szCs w:val="21"/>
                <w:lang w:eastAsia="zh-CN"/>
              </w:rPr>
              <w:t>Mishkin and Eakins (2015) Financial Markets and Institutions (GE), 8th Edition</w:t>
            </w:r>
          </w:p>
          <w:p>
            <w:pPr>
              <w:widowControl w:val="0"/>
              <w:numPr>
                <w:ilvl w:val="0"/>
                <w:numId w:val="1"/>
              </w:numPr>
              <w:tabs>
                <w:tab w:val="left" w:pos="1440"/>
              </w:tabs>
              <w:spacing w:after="0" w:line="0" w:lineRule="atLeast"/>
              <w:outlineLvl w:val="0"/>
              <w:rPr>
                <w:rFonts w:ascii="宋体" w:hAnsi="宋体" w:eastAsia="宋体"/>
                <w:sz w:val="21"/>
                <w:szCs w:val="21"/>
                <w:lang w:eastAsia="zh-CN"/>
              </w:rPr>
            </w:pPr>
            <w:r>
              <w:rPr>
                <w:rFonts w:hint="eastAsia" w:ascii="宋体" w:hAnsi="宋体" w:eastAsia="宋体"/>
                <w:sz w:val="21"/>
                <w:szCs w:val="21"/>
                <w:lang w:eastAsia="zh-CN"/>
              </w:rPr>
              <w:t>《</w:t>
            </w:r>
            <w:r>
              <w:rPr>
                <w:rFonts w:ascii="宋体" w:hAnsi="宋体" w:eastAsia="宋体"/>
                <w:sz w:val="21"/>
                <w:szCs w:val="21"/>
                <w:lang w:eastAsia="zh-CN"/>
              </w:rPr>
              <w:t>Risk Management and Financial Institutions</w:t>
            </w:r>
            <w:r>
              <w:rPr>
                <w:rFonts w:hint="eastAsia" w:ascii="宋体" w:hAnsi="宋体" w:eastAsia="宋体"/>
                <w:sz w:val="21"/>
                <w:szCs w:val="21"/>
                <w:lang w:eastAsia="zh-CN"/>
              </w:rPr>
              <w:t>》，第四版，</w:t>
            </w:r>
            <w:r>
              <w:rPr>
                <w:rFonts w:ascii="宋体" w:hAnsi="宋体" w:eastAsia="宋体"/>
                <w:sz w:val="21"/>
                <w:szCs w:val="21"/>
                <w:lang w:eastAsia="zh-CN"/>
              </w:rPr>
              <w:t xml:space="preserve"> John C. Hull</w:t>
            </w:r>
            <w:r>
              <w:rPr>
                <w:rFonts w:hint="eastAsia" w:ascii="宋体" w:hAnsi="宋体" w:eastAsia="宋体"/>
                <w:sz w:val="21"/>
                <w:szCs w:val="21"/>
                <w:lang w:eastAsia="zh-CN"/>
              </w:rPr>
              <w:t>，约翰威立商务服务（北京）有限公司</w:t>
            </w:r>
            <w:r>
              <w:rPr>
                <w:rFonts w:ascii="宋体" w:hAnsi="宋体" w:eastAsia="宋体"/>
                <w:sz w:val="21"/>
                <w:szCs w:val="21"/>
                <w:lang w:eastAsia="zh-CN"/>
              </w:rPr>
              <w:t>Wiley</w:t>
            </w:r>
            <w:r>
              <w:rPr>
                <w:rFonts w:hint="eastAsia" w:ascii="宋体" w:hAnsi="宋体" w:eastAsia="宋体"/>
                <w:sz w:val="21"/>
                <w:szCs w:val="21"/>
                <w:lang w:eastAsia="zh-CN"/>
              </w:rPr>
              <w:t>，</w:t>
            </w:r>
            <w:r>
              <w:rPr>
                <w:rFonts w:ascii="宋体" w:hAnsi="宋体" w:eastAsia="宋体"/>
                <w:sz w:val="21"/>
                <w:szCs w:val="21"/>
                <w:lang w:eastAsia="zh-CN"/>
              </w:rPr>
              <w:t xml:space="preserve"> 2014</w:t>
            </w:r>
            <w:r>
              <w:rPr>
                <w:rFonts w:hint="eastAsia" w:ascii="宋体" w:hAnsi="宋体" w:eastAsia="宋体"/>
                <w:sz w:val="21"/>
                <w:szCs w:val="21"/>
                <w:lang w:eastAsia="zh-CN"/>
              </w:rPr>
              <w:t>年。</w:t>
            </w:r>
          </w:p>
          <w:p>
            <w:pPr>
              <w:tabs>
                <w:tab w:val="left" w:pos="1440"/>
              </w:tabs>
              <w:spacing w:after="0" w:line="0" w:lineRule="atLeast"/>
              <w:outlineLvl w:val="0"/>
              <w:rPr>
                <w:rFonts w:ascii="宋体" w:hAnsi="宋体" w:eastAsia="宋体"/>
                <w:b/>
                <w:bCs/>
                <w:sz w:val="21"/>
                <w:szCs w:val="21"/>
                <w:lang w:eastAsia="zh-CN"/>
              </w:rPr>
            </w:pPr>
            <w:r>
              <w:rPr>
                <w:rFonts w:ascii="宋体" w:hAnsi="宋体" w:eastAsia="宋体"/>
                <w:sz w:val="21"/>
                <w:szCs w:val="21"/>
                <w:lang w:eastAsia="zh-CN"/>
              </w:rPr>
              <w:t>2.</w:t>
            </w:r>
            <w:r>
              <w:rPr>
                <w:rFonts w:hint="eastAsia" w:ascii="宋体" w:hAnsi="宋体" w:eastAsia="宋体"/>
                <w:sz w:val="21"/>
                <w:szCs w:val="21"/>
                <w:lang w:eastAsia="zh-CN"/>
              </w:rPr>
              <w:t>《风险管理》，王周伟，机械工业出版社，</w:t>
            </w:r>
            <w:r>
              <w:rPr>
                <w:rFonts w:ascii="宋体" w:hAnsi="宋体" w:eastAsia="宋体"/>
                <w:sz w:val="21"/>
                <w:szCs w:val="21"/>
                <w:lang w:eastAsia="zh-CN"/>
              </w:rPr>
              <w:t>2017</w:t>
            </w:r>
            <w:r>
              <w:rPr>
                <w:rFonts w:hint="eastAsia" w:ascii="宋体" w:hAnsi="宋体" w:eastAsia="宋体"/>
                <w:sz w:val="21"/>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p>
          <w:p>
            <w:pPr>
              <w:tabs>
                <w:tab w:val="left" w:pos="1440"/>
              </w:tabs>
              <w:outlineLvl w:val="0"/>
              <w:rPr>
                <w:rFonts w:ascii="宋体" w:hAnsi="宋体"/>
                <w:b/>
                <w:sz w:val="21"/>
                <w:szCs w:val="21"/>
                <w:lang w:eastAsia="zh-TW"/>
              </w:rPr>
            </w:pPr>
            <w:r>
              <w:rPr>
                <w:rFonts w:hint="eastAsia" w:asciiTheme="minorEastAsia" w:hAnsiTheme="minorEastAsia" w:eastAsiaTheme="minorEastAsia"/>
                <w:sz w:val="21"/>
                <w:szCs w:val="21"/>
                <w:lang w:eastAsia="zh-CN"/>
              </w:rPr>
              <w:t>本课程教学，以习近平中共中央总书记、国家主席、中央军委主席习近平总书记新时代中国特色社会主义经济思想指导金融发展为核心，培养学生金融机构从业人员专业能力，透过实践课程，了解证券业、银行业、私募、基金管理等金融机构公司的实际营运，装备学生需具备的专业知识，使学生将来能胜任这些金融机构的工作。证券业包含证券市场交易机制、有价证券募集与发行、集中市场、债券、市场投资分析等。银行业包含银行的负债业务、银行的资产业务、银行的表外业务、银行的资产负债管理、银行的营销管理、银行的风险管理、银行经营管理绩效评价</w:t>
            </w:r>
            <w:r>
              <w:rPr>
                <w:rFonts w:hint="eastAsia" w:ascii="PMingLiU" w:hAnsi="PMingLiU"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Pr>
          <w:p>
            <w:pPr>
              <w:tabs>
                <w:tab w:val="left" w:pos="1440"/>
              </w:tabs>
              <w:spacing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line="0" w:lineRule="atLeast"/>
              <w:outlineLvl w:val="0"/>
              <w:rPr>
                <w:rFonts w:ascii="宋体" w:hAnsi="宋体" w:eastAsia="宋体"/>
                <w:sz w:val="21"/>
                <w:szCs w:val="21"/>
                <w:lang w:eastAsia="zh-CN"/>
              </w:rPr>
            </w:pPr>
            <w:r>
              <w:rPr>
                <w:rFonts w:ascii="宋体" w:hAnsi="宋体" w:eastAsia="宋体"/>
                <w:sz w:val="21"/>
                <w:szCs w:val="21"/>
                <w:lang w:eastAsia="zh-CN"/>
              </w:rPr>
              <w:t xml:space="preserve">1. </w:t>
            </w:r>
            <w:r>
              <w:rPr>
                <w:rFonts w:hint="eastAsia" w:ascii="宋体" w:hAnsi="宋体" w:eastAsia="宋体"/>
                <w:sz w:val="21"/>
                <w:szCs w:val="21"/>
                <w:lang w:eastAsia="zh-CN"/>
              </w:rPr>
              <w:t>培养学生具备专门的投资管理知识（理解）。</w:t>
            </w:r>
          </w:p>
          <w:p>
            <w:pPr>
              <w:tabs>
                <w:tab w:val="left" w:pos="1440"/>
              </w:tabs>
              <w:spacing w:line="0" w:lineRule="atLeast"/>
              <w:outlineLvl w:val="0"/>
              <w:rPr>
                <w:rFonts w:ascii="宋体" w:hAnsi="宋体" w:eastAsia="宋体"/>
                <w:sz w:val="21"/>
                <w:szCs w:val="21"/>
                <w:lang w:eastAsia="zh-CN"/>
              </w:rPr>
            </w:pPr>
            <w:r>
              <w:rPr>
                <w:rFonts w:ascii="宋体" w:hAnsi="宋体" w:eastAsia="宋体"/>
                <w:sz w:val="21"/>
                <w:szCs w:val="21"/>
                <w:lang w:eastAsia="zh-CN"/>
              </w:rPr>
              <w:t xml:space="preserve">2. </w:t>
            </w:r>
            <w:r>
              <w:rPr>
                <w:rFonts w:hint="eastAsia" w:ascii="宋体" w:hAnsi="宋体" w:eastAsia="宋体"/>
                <w:sz w:val="21"/>
                <w:szCs w:val="21"/>
                <w:lang w:eastAsia="zh-CN"/>
              </w:rPr>
              <w:t>培养顶尖的金融风险控管人员以符合产业界之需求（综合）。</w:t>
            </w:r>
          </w:p>
          <w:p>
            <w:pPr>
              <w:tabs>
                <w:tab w:val="left" w:pos="1440"/>
              </w:tabs>
              <w:spacing w:line="0" w:lineRule="atLeast"/>
              <w:outlineLvl w:val="0"/>
              <w:rPr>
                <w:rFonts w:ascii="宋体" w:hAnsi="宋体" w:eastAsia="宋体"/>
                <w:sz w:val="21"/>
                <w:szCs w:val="21"/>
                <w:lang w:eastAsia="zh-CN"/>
              </w:rPr>
            </w:pPr>
            <w:r>
              <w:rPr>
                <w:rFonts w:ascii="宋体" w:hAnsi="宋体" w:eastAsia="宋体"/>
                <w:sz w:val="21"/>
                <w:szCs w:val="21"/>
                <w:lang w:eastAsia="zh-CN"/>
              </w:rPr>
              <w:t xml:space="preserve">3. </w:t>
            </w:r>
            <w:r>
              <w:rPr>
                <w:rFonts w:hint="eastAsia" w:ascii="宋体" w:hAnsi="宋体" w:eastAsia="宋体"/>
                <w:sz w:val="21"/>
                <w:szCs w:val="21"/>
                <w:lang w:eastAsia="zh-CN"/>
              </w:rPr>
              <w:t>培养学生应用风阾管理于公司与产业界的能力及专业态度（综合）</w:t>
            </w:r>
          </w:p>
          <w:p>
            <w:pPr>
              <w:tabs>
                <w:tab w:val="left" w:pos="1440"/>
              </w:tabs>
              <w:spacing w:line="0" w:lineRule="atLeast"/>
              <w:outlineLvl w:val="0"/>
              <w:rPr>
                <w:rFonts w:ascii="宋体" w:hAnsi="宋体" w:eastAsia="宋体"/>
                <w:sz w:val="21"/>
                <w:szCs w:val="21"/>
                <w:lang w:eastAsia="zh-CN"/>
              </w:rPr>
            </w:pPr>
          </w:p>
          <w:p>
            <w:pPr>
              <w:tabs>
                <w:tab w:val="left" w:pos="1440"/>
              </w:tabs>
              <w:spacing w:line="0" w:lineRule="atLeast"/>
              <w:outlineLvl w:val="0"/>
              <w:rPr>
                <w:sz w:val="21"/>
                <w:szCs w:val="21"/>
                <w:lang w:eastAsia="zh-CN"/>
              </w:rPr>
            </w:pPr>
          </w:p>
          <w:p>
            <w:pPr>
              <w:tabs>
                <w:tab w:val="left" w:pos="1440"/>
              </w:tabs>
              <w:spacing w:line="0" w:lineRule="atLeast"/>
              <w:outlineLvl w:val="0"/>
              <w:rPr>
                <w:sz w:val="21"/>
                <w:szCs w:val="21"/>
                <w:lang w:eastAsia="zh-CN"/>
              </w:rPr>
            </w:pPr>
          </w:p>
          <w:p>
            <w:pPr>
              <w:tabs>
                <w:tab w:val="left" w:pos="1440"/>
              </w:tabs>
              <w:spacing w:line="0" w:lineRule="atLeast"/>
              <w:outlineLvl w:val="0"/>
              <w:rPr>
                <w:sz w:val="21"/>
                <w:szCs w:val="21"/>
                <w:lang w:eastAsia="zh-CN"/>
              </w:rPr>
            </w:pPr>
          </w:p>
          <w:p>
            <w:pPr>
              <w:tabs>
                <w:tab w:val="left" w:pos="1440"/>
              </w:tabs>
              <w:spacing w:line="0" w:lineRule="atLeast"/>
              <w:outlineLvl w:val="0"/>
              <w:rPr>
                <w:rFonts w:ascii="宋体" w:hAnsi="宋体"/>
                <w:b/>
                <w:sz w:val="21"/>
                <w:szCs w:val="21"/>
                <w:lang w:eastAsia="zh-CN"/>
              </w:rPr>
            </w:pPr>
          </w:p>
        </w:tc>
        <w:tc>
          <w:tcPr>
            <w:tcW w:w="3185" w:type="dxa"/>
            <w:gridSpan w:val="5"/>
          </w:tcPr>
          <w:p>
            <w:pPr>
              <w:tabs>
                <w:tab w:val="left" w:pos="1440"/>
              </w:tabs>
              <w:spacing w:line="0" w:lineRule="atLeast"/>
              <w:outlineLvl w:val="0"/>
              <w:rPr>
                <w:rFonts w:ascii="宋体" w:hAnsi="宋体" w:eastAsia="宋体"/>
                <w:b/>
                <w:sz w:val="18"/>
                <w:szCs w:val="18"/>
                <w:lang w:eastAsia="zh-CN"/>
              </w:rPr>
            </w:pPr>
            <w:r>
              <w:rPr>
                <w:rFonts w:hint="eastAsia" w:ascii="宋体" w:hAnsi="宋体" w:eastAsia="宋体"/>
                <w:b/>
                <w:sz w:val="18"/>
                <w:szCs w:val="18"/>
                <w:lang w:eastAsia="zh-CN"/>
              </w:rPr>
              <w:t>本课程与学生核心能力培养之间的关联</w:t>
            </w:r>
            <w:r>
              <w:rPr>
                <w:rFonts w:ascii="宋体" w:hAnsi="宋体" w:eastAsia="宋体"/>
                <w:b/>
                <w:sz w:val="18"/>
                <w:szCs w:val="18"/>
                <w:lang w:eastAsia="zh-CN"/>
              </w:rPr>
              <w:t>(</w:t>
            </w:r>
            <w:r>
              <w:rPr>
                <w:rFonts w:hint="eastAsia" w:ascii="宋体" w:hAnsi="宋体" w:eastAsia="宋体"/>
                <w:b/>
                <w:sz w:val="18"/>
                <w:szCs w:val="18"/>
                <w:lang w:eastAsia="zh-CN"/>
              </w:rPr>
              <w:t>授课对象为理工科专业学生的课程填写此栏）：</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1.</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2.</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3.</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4.</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5.</w:t>
            </w:r>
          </w:p>
          <w:p>
            <w:pPr>
              <w:tabs>
                <w:tab w:val="left" w:pos="1440"/>
              </w:tabs>
              <w:spacing w:line="0" w:lineRule="atLeast"/>
              <w:outlineLvl w:val="0"/>
              <w:rPr>
                <w:rFonts w:ascii="宋体" w:hAnsi="宋体"/>
                <w:b/>
                <w:sz w:val="18"/>
                <w:szCs w:val="18"/>
                <w:lang w:eastAsia="zh-TW"/>
              </w:rPr>
            </w:pPr>
            <w:r>
              <w:rPr>
                <w:rFonts w:hint="eastAsia" w:ascii="宋体" w:hAnsi="宋体" w:eastAsia="宋体"/>
                <w:b/>
                <w:sz w:val="18"/>
                <w:szCs w:val="18"/>
                <w:lang w:eastAsia="zh-CN"/>
              </w:rPr>
              <w:t>■核心能力</w:t>
            </w:r>
            <w:r>
              <w:rPr>
                <w:rFonts w:ascii="宋体" w:hAnsi="宋体" w:eastAsia="宋体"/>
                <w:b/>
                <w:sz w:val="18"/>
                <w:szCs w:val="18"/>
                <w:lang w:eastAsia="zh-CN"/>
              </w:rPr>
              <w:t>6.</w:t>
            </w:r>
          </w:p>
          <w:p>
            <w:pPr>
              <w:tabs>
                <w:tab w:val="left" w:pos="1440"/>
              </w:tabs>
              <w:spacing w:line="0" w:lineRule="atLeast"/>
              <w:outlineLvl w:val="0"/>
              <w:rPr>
                <w:rFonts w:ascii="宋体" w:hAnsi="宋体" w:eastAsia="宋体"/>
                <w:b/>
                <w:sz w:val="18"/>
                <w:szCs w:val="18"/>
              </w:rPr>
            </w:pPr>
            <w:r>
              <w:rPr>
                <w:rFonts w:hint="eastAsia" w:ascii="宋体" w:hAnsi="宋体" w:eastAsia="宋体"/>
                <w:b/>
                <w:sz w:val="18"/>
                <w:szCs w:val="18"/>
                <w:lang w:eastAsia="zh-CN"/>
              </w:rPr>
              <w:t>■核心能力</w:t>
            </w:r>
            <w:r>
              <w:rPr>
                <w:rFonts w:ascii="宋体" w:hAnsi="宋体" w:eastAsia="宋体"/>
                <w:b/>
                <w:sz w:val="18"/>
                <w:szCs w:val="18"/>
                <w:lang w:eastAsia="zh-CN"/>
              </w:rPr>
              <w:t>7</w:t>
            </w:r>
            <w:r>
              <w:rPr>
                <w:rFonts w:hint="eastAsia" w:ascii="宋体" w:hAnsi="宋体" w:eastAsia="宋体"/>
                <w:b/>
                <w:sz w:val="18"/>
                <w:szCs w:val="18"/>
                <w:lang w:eastAsia="zh-CN"/>
              </w:rPr>
              <w:t>．</w:t>
            </w:r>
          </w:p>
          <w:p>
            <w:pPr>
              <w:tabs>
                <w:tab w:val="left" w:pos="1440"/>
              </w:tabs>
              <w:spacing w:line="0" w:lineRule="atLeast"/>
              <w:outlineLvl w:val="0"/>
              <w:rPr>
                <w:rFonts w:ascii="宋体" w:hAnsi="宋体"/>
                <w:b/>
                <w:sz w:val="21"/>
                <w:szCs w:val="21"/>
                <w:lang w:eastAsia="zh-TW"/>
              </w:rPr>
            </w:pPr>
            <w:r>
              <w:rPr>
                <w:rFonts w:hint="eastAsia" w:ascii="宋体" w:hAnsi="宋体" w:eastAsia="宋体"/>
                <w:b/>
                <w:sz w:val="18"/>
                <w:szCs w:val="18"/>
                <w:lang w:eastAsia="zh-CN"/>
              </w:rPr>
              <w:t>■核心能力</w:t>
            </w:r>
            <w:r>
              <w:rPr>
                <w:rFonts w:ascii="宋体" w:hAnsi="宋体" w:eastAsia="宋体"/>
                <w:b/>
                <w:sz w:val="18"/>
                <w:szCs w:val="18"/>
                <w:lang w:eastAsia="zh-CN"/>
              </w:rPr>
              <w:t>8</w:t>
            </w:r>
            <w:r>
              <w:rPr>
                <w:rFonts w:hint="eastAsia" w:ascii="宋体" w:hAnsi="宋体" w:eastAsia="宋体"/>
                <w:b/>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周次</w:t>
            </w:r>
          </w:p>
        </w:tc>
        <w:tc>
          <w:tcPr>
            <w:tcW w:w="1729" w:type="dxa"/>
            <w:gridSpan w:val="2"/>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教学主题</w:t>
            </w:r>
          </w:p>
        </w:tc>
        <w:tc>
          <w:tcPr>
            <w:tcW w:w="623" w:type="dxa"/>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教学时长</w:t>
            </w:r>
          </w:p>
        </w:tc>
        <w:tc>
          <w:tcPr>
            <w:tcW w:w="4111" w:type="dxa"/>
            <w:gridSpan w:val="4"/>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教学的重点与难点</w:t>
            </w:r>
          </w:p>
        </w:tc>
        <w:tc>
          <w:tcPr>
            <w:tcW w:w="1198" w:type="dxa"/>
            <w:gridSpan w:val="2"/>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教学方式</w:t>
            </w:r>
          </w:p>
        </w:tc>
        <w:tc>
          <w:tcPr>
            <w:tcW w:w="1091" w:type="dxa"/>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1</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证券市场</w:t>
            </w:r>
            <w:r>
              <w:rPr>
                <w:rFonts w:hint="eastAsia" w:ascii="PMingLiU" w:hAnsi="PMingLiU" w:eastAsia="宋体"/>
                <w:sz w:val="21"/>
                <w:szCs w:val="21"/>
                <w:lang w:eastAsia="zh-CN"/>
              </w:rPr>
              <w:t>与证券公司业务介绍</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重点：证券市场</w:t>
            </w:r>
            <w:r>
              <w:rPr>
                <w:rFonts w:hint="eastAsia" w:ascii="PMingLiU" w:hAnsi="PMingLiU" w:eastAsia="宋体"/>
                <w:sz w:val="21"/>
                <w:szCs w:val="21"/>
                <w:lang w:eastAsia="zh-CN"/>
              </w:rPr>
              <w:t>与证券公司业务介绍</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证券公司实际运作方式</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金</w:t>
            </w:r>
            <w:r>
              <w:rPr>
                <w:rFonts w:hint="eastAsia" w:asciiTheme="minorEastAsia" w:hAnsiTheme="minorEastAsia" w:eastAsiaTheme="minorEastAsia"/>
                <w:sz w:val="21"/>
                <w:szCs w:val="21"/>
                <w:lang w:eastAsia="zh-CN"/>
              </w:rPr>
              <w:t>证券市场</w:t>
            </w:r>
            <w:r>
              <w:rPr>
                <w:rFonts w:hint="eastAsia" w:ascii="PMingLiU" w:hAnsi="PMingLiU" w:eastAsia="宋体"/>
                <w:sz w:val="21"/>
                <w:szCs w:val="21"/>
                <w:lang w:eastAsia="zh-CN"/>
              </w:rPr>
              <w:t>与证券公司业务介绍</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2</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有价证券发行</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各种有价证券种类</w:t>
            </w:r>
            <w:r>
              <w:rPr>
                <w:rFonts w:hint="eastAsia" w:asciiTheme="minorEastAsia" w:hAnsiTheme="minorEastAsia" w:eastAsiaTheme="minorEastAsia"/>
                <w:sz w:val="21"/>
                <w:szCs w:val="21"/>
                <w:lang w:eastAsia="zh-CN"/>
              </w:rPr>
              <w:t>发行</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各种有价券发行规定与条件</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各种有价证券种类</w:t>
            </w:r>
            <w:r>
              <w:rPr>
                <w:rFonts w:hint="eastAsia" w:asciiTheme="minorEastAsia" w:hAnsiTheme="minorEastAsia" w:eastAsiaTheme="minorEastAsia"/>
                <w:sz w:val="21"/>
                <w:szCs w:val="21"/>
                <w:lang w:eastAsia="zh-CN"/>
              </w:rPr>
              <w:t>发行</w:t>
            </w:r>
            <w:r>
              <w:rPr>
                <w:rFonts w:hint="eastAsia" w:ascii="PMingLiU" w:hAnsi="PMingLiU" w:eastAsia="宋体"/>
                <w:sz w:val="21"/>
                <w:szCs w:val="21"/>
                <w:lang w:eastAsia="zh-CN"/>
              </w:rPr>
              <w:t>方式与规定</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证券市场交易机制</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重点：各种有价证券种类与交易机制</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难点：证券市场交易实际运作方式</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课程思政融入点：以习近平新时代中国特色社会主义经济思想指导金融发展，学习金融市场各种有价证券种类与交易机制</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作业一</w:t>
            </w:r>
            <w:r>
              <w:rPr>
                <w:rFonts w:ascii="PMingLiU" w:hAnsi="PMingLiU" w:eastAsia="宋体"/>
                <w:sz w:val="21"/>
                <w:szCs w:val="21"/>
                <w:lang w:eastAsia="zh-CN"/>
              </w:rPr>
              <w:t>:</w:t>
            </w:r>
            <w:r>
              <w:rPr>
                <w:rFonts w:hint="eastAsia" w:ascii="PMingLiU" w:hAnsi="PMingLiU" w:eastAsia="宋体"/>
                <w:sz w:val="21"/>
                <w:szCs w:val="21"/>
                <w:lang w:eastAsia="zh-CN"/>
              </w:rPr>
              <w:t>证券市场研究报告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4</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股票投资组合分析</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重点：股票投资组合分析</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难点：股票报酬与风险衡量，风险分散</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课程思政融入点：以习近平新时代中国特色社会主义经济思想指导金融发展，学习股票投资组合分析与风险分散</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5</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债券</w:t>
            </w:r>
            <w:r>
              <w:rPr>
                <w:rFonts w:hint="eastAsia" w:asciiTheme="minorEastAsia" w:hAnsiTheme="minorEastAsia" w:eastAsiaTheme="minorEastAsia"/>
                <w:sz w:val="21"/>
                <w:szCs w:val="21"/>
                <w:lang w:eastAsia="zh-CN"/>
              </w:rPr>
              <w:t>投资分析</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债券评价</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存续期间与利率</w:t>
            </w:r>
            <w:r>
              <w:rPr>
                <w:rFonts w:hint="eastAsia" w:asciiTheme="minorEastAsia" w:hAnsiTheme="minorEastAsia" w:eastAsiaTheme="minorEastAsia"/>
                <w:sz w:val="21"/>
                <w:szCs w:val="21"/>
                <w:lang w:eastAsia="zh-CN"/>
              </w:rPr>
              <w:t>风险</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课程思政融入点：以习近平新时代中国特色社会主义经济思想指导金融发展，学习股</w:t>
            </w:r>
            <w:r>
              <w:rPr>
                <w:rFonts w:hint="eastAsia" w:ascii="PMingLiU" w:hAnsi="PMingLiU" w:eastAsia="宋体"/>
                <w:sz w:val="21"/>
                <w:szCs w:val="21"/>
                <w:lang w:eastAsia="zh-CN"/>
              </w:rPr>
              <w:t>债券</w:t>
            </w:r>
            <w:r>
              <w:rPr>
                <w:rFonts w:hint="eastAsia" w:asciiTheme="minorEastAsia" w:hAnsiTheme="minorEastAsia" w:eastAsiaTheme="minorEastAsia"/>
                <w:sz w:val="21"/>
                <w:szCs w:val="21"/>
                <w:lang w:eastAsia="zh-CN"/>
              </w:rPr>
              <w:t>投资分析</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6</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投资分析</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基金种类与投资策略</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风险衡量</w:t>
            </w:r>
            <w:r>
              <w:rPr>
                <w:rFonts w:hint="eastAsia" w:ascii="PMingLiU" w:hAnsi="PMingLiU" w:eastAsia="宋体"/>
                <w:sz w:val="21"/>
                <w:szCs w:val="21"/>
                <w:lang w:eastAsia="zh-CN"/>
              </w:rPr>
              <w:t>与绩效评估</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投资</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7</w:t>
            </w:r>
          </w:p>
        </w:tc>
        <w:tc>
          <w:tcPr>
            <w:tcW w:w="1729" w:type="dxa"/>
            <w:gridSpan w:val="2"/>
          </w:tcPr>
          <w:p>
            <w:pPr>
              <w:rPr>
                <w:rFonts w:asciiTheme="minorEastAsia" w:hAnsiTheme="minorEastAsia" w:eastAsiaTheme="minorEastAsia"/>
                <w:sz w:val="21"/>
                <w:szCs w:val="21"/>
                <w:lang w:eastAsia="zh-CN"/>
              </w:rPr>
            </w:pPr>
            <w:r>
              <w:rPr>
                <w:rFonts w:hint="eastAsia" w:eastAsia="宋体" w:asciiTheme="minorEastAsia" w:hAnsiTheme="minorEastAsia"/>
                <w:sz w:val="21"/>
                <w:szCs w:val="21"/>
                <w:lang w:eastAsia="zh-CN"/>
              </w:rPr>
              <w:t>衍生性</w:t>
            </w:r>
            <w:r>
              <w:rPr>
                <w:rFonts w:hint="eastAsia" w:ascii="PMingLiU" w:hAnsi="PMingLiU" w:eastAsia="宋体"/>
                <w:sz w:val="21"/>
                <w:szCs w:val="21"/>
                <w:lang w:eastAsia="zh-CN"/>
              </w:rPr>
              <w:t>金融商品</w:t>
            </w:r>
            <w:r>
              <w:rPr>
                <w:rFonts w:hint="eastAsia" w:asciiTheme="minorEastAsia" w:hAnsiTheme="minorEastAsia" w:eastAsiaTheme="minorEastAsia"/>
                <w:sz w:val="21"/>
                <w:szCs w:val="21"/>
                <w:lang w:eastAsia="zh-CN"/>
              </w:rPr>
              <w:t>投资分析</w:t>
            </w:r>
            <w:r>
              <w:rPr>
                <w:rFonts w:hint="eastAsia" w:ascii="PMingLiU" w:hAnsi="PMingLiU" w:eastAsia="宋体"/>
                <w:sz w:val="21"/>
                <w:szCs w:val="21"/>
                <w:lang w:eastAsia="zh-CN"/>
              </w:rPr>
              <w:t>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股票期权</w:t>
            </w:r>
            <w:r>
              <w:rPr>
                <w:rFonts w:hint="eastAsia" w:eastAsia="宋体" w:asciiTheme="minorEastAsia" w:hAnsiTheme="minorEastAsia"/>
                <w:sz w:val="21"/>
                <w:szCs w:val="21"/>
                <w:lang w:eastAsia="zh-CN"/>
              </w:rPr>
              <w:t>定价、</w:t>
            </w:r>
            <w:r>
              <w:rPr>
                <w:rFonts w:hint="eastAsia" w:ascii="PMingLiU" w:hAnsi="PMingLiU" w:eastAsia="宋体"/>
                <w:sz w:val="21"/>
                <w:szCs w:val="21"/>
                <w:lang w:eastAsia="zh-CN"/>
              </w:rPr>
              <w:t>股票期权交易策略</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期权交易策略组合</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eastAsia="宋体" w:asciiTheme="minorEastAsia" w:hAnsiTheme="minorEastAsia"/>
                <w:sz w:val="21"/>
                <w:szCs w:val="21"/>
                <w:lang w:eastAsia="zh-CN"/>
              </w:rPr>
              <w:t>衍生性金融商品</w:t>
            </w:r>
            <w:r>
              <w:rPr>
                <w:rFonts w:hint="eastAsia" w:asciiTheme="minorEastAsia" w:hAnsiTheme="minorEastAsia" w:eastAsiaTheme="minorEastAsia"/>
                <w:sz w:val="21"/>
                <w:szCs w:val="21"/>
                <w:lang w:eastAsia="zh-CN"/>
              </w:rPr>
              <w:t>的</w:t>
            </w:r>
            <w:r>
              <w:rPr>
                <w:rFonts w:hint="eastAsia" w:ascii="PMingLiU" w:hAnsi="PMingLiU" w:eastAsia="宋体"/>
                <w:sz w:val="21"/>
                <w:szCs w:val="21"/>
                <w:lang w:eastAsia="zh-CN"/>
              </w:rPr>
              <w:t>交易策略组合</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作业二</w:t>
            </w:r>
            <w:r>
              <w:rPr>
                <w:rFonts w:ascii="PMingLiU" w:hAnsi="PMingLiU" w:eastAsia="宋体"/>
                <w:sz w:val="21"/>
                <w:szCs w:val="21"/>
                <w:lang w:eastAsia="zh-CN"/>
              </w:rPr>
              <w:t>:</w:t>
            </w:r>
            <w:r>
              <w:rPr>
                <w:rFonts w:hint="eastAsia" w:ascii="PMingLiU" w:hAnsi="PMingLiU" w:eastAsia="宋体"/>
                <w:sz w:val="21"/>
                <w:szCs w:val="21"/>
                <w:lang w:eastAsia="zh-CN"/>
              </w:rPr>
              <w:t>有价证券投资研究报告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8</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股票订价模型与投资实务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股票期权</w:t>
            </w:r>
            <w:r>
              <w:rPr>
                <w:rFonts w:hint="eastAsia" w:eastAsia="宋体" w:asciiTheme="minorEastAsia" w:hAnsiTheme="minorEastAsia"/>
                <w:sz w:val="21"/>
                <w:szCs w:val="21"/>
                <w:lang w:eastAsia="zh-CN"/>
              </w:rPr>
              <w:t>定价、</w:t>
            </w:r>
            <w:r>
              <w:rPr>
                <w:rFonts w:hint="eastAsia" w:ascii="PMingLiU" w:hAnsi="PMingLiU" w:eastAsia="宋体"/>
                <w:sz w:val="21"/>
                <w:szCs w:val="21"/>
                <w:lang w:eastAsia="zh-CN"/>
              </w:rPr>
              <w:t>股票期权交易策略</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期权交易策略组合</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eastAsia="宋体" w:asciiTheme="minorEastAsia" w:hAnsiTheme="minorEastAsia"/>
                <w:sz w:val="21"/>
                <w:szCs w:val="21"/>
                <w:lang w:eastAsia="zh-CN"/>
              </w:rPr>
              <w:t>衍</w:t>
            </w:r>
            <w:r>
              <w:rPr>
                <w:rFonts w:hint="eastAsia" w:ascii="PMingLiU" w:hAnsi="PMingLiU" w:eastAsia="宋体"/>
                <w:sz w:val="21"/>
                <w:szCs w:val="21"/>
                <w:lang w:eastAsia="zh-CN"/>
              </w:rPr>
              <w:t>股票订价</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9</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期权订价模型与投资实务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期权订价模型与计算</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期权订价因子</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期权订价</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10</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银行的负债业务</w:t>
            </w:r>
            <w:r>
              <w:rPr>
                <w:rFonts w:hint="eastAsia" w:ascii="PMingLiU" w:hAnsi="PMingLiU" w:eastAsia="宋体"/>
                <w:sz w:val="21"/>
                <w:szCs w:val="21"/>
                <w:lang w:eastAsia="zh-CN"/>
              </w:rPr>
              <w:t>实务</w:t>
            </w:r>
          </w:p>
        </w:tc>
        <w:tc>
          <w:tcPr>
            <w:tcW w:w="623" w:type="dxa"/>
          </w:tcPr>
          <w:p>
            <w:pPr>
              <w:rPr>
                <w:rFonts w:hint="eastAsia"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重点：负债业务的概念</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负债业务的运作</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存款经营的策略</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难点：存款创新</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存款成本管理</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课程思政融入点：以习近平新时代中国特色社会主义经济思想指导金融发展，学习银行的负债业务</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11</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银行的资产业务</w:t>
            </w:r>
            <w:r>
              <w:rPr>
                <w:rFonts w:hint="eastAsia" w:ascii="PMingLiU" w:hAnsi="PMingLiU" w:eastAsia="宋体"/>
                <w:sz w:val="21"/>
                <w:szCs w:val="21"/>
                <w:lang w:eastAsia="zh-CN"/>
              </w:rPr>
              <w:t>实务</w:t>
            </w:r>
          </w:p>
        </w:tc>
        <w:tc>
          <w:tcPr>
            <w:tcW w:w="623" w:type="dxa"/>
          </w:tcPr>
          <w:p>
            <w:pPr>
              <w:rPr>
                <w:rFonts w:hint="eastAsia"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eastAsia="宋体" w:asciiTheme="minorEastAsia" w:hAnsiTheme="minorEastAsia"/>
                <w:sz w:val="21"/>
                <w:szCs w:val="21"/>
                <w:lang w:eastAsia="zh-CN"/>
              </w:rPr>
              <w:t>贷款业务操作规程</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eastAsia="宋体" w:asciiTheme="minorEastAsia" w:hAnsiTheme="minorEastAsia"/>
                <w:sz w:val="21"/>
                <w:szCs w:val="21"/>
                <w:lang w:eastAsia="zh-CN"/>
              </w:rPr>
              <w:t>贷款风险度和信用等级测算与评估</w:t>
            </w:r>
            <w:r>
              <w:rPr>
                <w:rFonts w:hint="eastAsia" w:eastAsia="宋体" w:asciiTheme="minorEastAsia" w:hAnsiTheme="minorEastAsia"/>
                <w:sz w:val="21"/>
                <w:szCs w:val="21"/>
                <w:lang w:eastAsia="zh-CN"/>
              </w:rPr>
              <w:t>、</w:t>
            </w:r>
            <w:r>
              <w:rPr>
                <w:rFonts w:eastAsia="宋体" w:asciiTheme="minorEastAsia" w:hAnsiTheme="minorEastAsia"/>
                <w:sz w:val="21"/>
                <w:szCs w:val="21"/>
                <w:lang w:eastAsia="zh-CN"/>
              </w:rPr>
              <w:t>贷款信用调查分析方法</w:t>
            </w:r>
          </w:p>
          <w:p>
            <w:pPr>
              <w:rPr>
                <w:rFonts w:hint="eastAsia"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课程思政融入点：以习近平新时代中国特色社会主义经济思想指导金融发展，学习银行的资产业务</w:t>
            </w:r>
          </w:p>
          <w:p>
            <w:pPr>
              <w:rPr>
                <w:rFonts w:asciiTheme="minorEastAsia" w:hAnsiTheme="minorEastAsia"/>
                <w:sz w:val="21"/>
                <w:szCs w:val="21"/>
                <w:lang w:eastAsia="zh-TW"/>
              </w:rPr>
            </w:pP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12</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银行的表外业务</w:t>
            </w:r>
            <w:r>
              <w:rPr>
                <w:rFonts w:hint="eastAsia" w:ascii="PMingLiU" w:hAnsi="PMingLiU" w:eastAsia="宋体"/>
                <w:sz w:val="21"/>
                <w:szCs w:val="21"/>
                <w:lang w:eastAsia="zh-CN"/>
              </w:rPr>
              <w:t>实务</w:t>
            </w:r>
          </w:p>
        </w:tc>
        <w:tc>
          <w:tcPr>
            <w:tcW w:w="623" w:type="dxa"/>
          </w:tcPr>
          <w:p>
            <w:pPr>
              <w:rPr>
                <w:rFonts w:hint="eastAsia"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eastAsia="宋体" w:asciiTheme="minorEastAsia" w:hAnsiTheme="minorEastAsia"/>
                <w:sz w:val="21"/>
                <w:szCs w:val="21"/>
                <w:lang w:eastAsia="zh-CN"/>
              </w:rPr>
              <w:t>中间业务及其相关性概念和框架</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eastAsia="宋体" w:asciiTheme="minorEastAsia" w:hAnsiTheme="minorEastAsia"/>
                <w:sz w:val="21"/>
                <w:szCs w:val="21"/>
                <w:lang w:eastAsia="zh-CN"/>
              </w:rPr>
              <w:t>创新业务</w:t>
            </w:r>
          </w:p>
          <w:p>
            <w:pPr>
              <w:rPr>
                <w:rFonts w:hint="eastAsia"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课程思政融入点：以习近平新时代中国特色社会主义经济思想指导金融发展，学习银行的表外业务</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作业三</w:t>
            </w:r>
            <w:r>
              <w:rPr>
                <w:rFonts w:ascii="PMingLiU" w:hAnsi="PMingLiU" w:eastAsia="宋体"/>
                <w:sz w:val="21"/>
                <w:szCs w:val="21"/>
                <w:lang w:eastAsia="zh-CN"/>
              </w:rPr>
              <w:t>:</w:t>
            </w:r>
            <w:r>
              <w:rPr>
                <w:rFonts w:hint="eastAsia" w:ascii="PMingLiU" w:hAnsi="PMingLiU" w:eastAsia="宋体"/>
                <w:sz w:val="21"/>
                <w:szCs w:val="21"/>
                <w:lang w:eastAsia="zh-CN"/>
              </w:rPr>
              <w:t>银行业务研究报告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13</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银行的资产负债管理</w:t>
            </w:r>
            <w:r>
              <w:rPr>
                <w:rFonts w:hint="eastAsia" w:ascii="PMingLiU" w:hAnsi="PMingLiU" w:eastAsia="宋体"/>
                <w:sz w:val="21"/>
                <w:szCs w:val="21"/>
                <w:lang w:eastAsia="zh-CN"/>
              </w:rPr>
              <w:t>实务</w:t>
            </w:r>
          </w:p>
        </w:tc>
        <w:tc>
          <w:tcPr>
            <w:tcW w:w="623" w:type="dxa"/>
          </w:tcPr>
          <w:p>
            <w:pPr>
              <w:rPr>
                <w:rFonts w:hint="eastAsia"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w:t>
            </w:r>
            <w:r>
              <w:rPr>
                <w:rFonts w:hint="eastAsia" w:ascii="Calibri" w:hAnsi="Calibri" w:eastAsia="宋体" w:cs="宋体"/>
                <w:szCs w:val="24"/>
                <w:lang w:eastAsia="zh-CN"/>
              </w:rPr>
              <w:t>掌握商业银行资产负债管理理论的发展、利率敏感性缺口模型的运用</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Calibri" w:hAnsi="Calibri" w:eastAsia="宋体" w:cs="宋体"/>
                <w:szCs w:val="24"/>
                <w:lang w:eastAsia="zh-CN"/>
              </w:rPr>
              <w:t>利率敏感性缺口模型及久期技术</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课程思政融入点：以习近平新时代中国特色社会主义经济思想指导金融发展，学习银行的资产负债管理</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14</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银行的营销管理</w:t>
            </w:r>
            <w:r>
              <w:rPr>
                <w:rFonts w:hint="eastAsia" w:ascii="PMingLiU" w:hAnsi="PMingLiU" w:eastAsia="宋体"/>
                <w:sz w:val="21"/>
                <w:szCs w:val="21"/>
                <w:lang w:eastAsia="zh-CN"/>
              </w:rPr>
              <w:t>实务</w:t>
            </w:r>
          </w:p>
        </w:tc>
        <w:tc>
          <w:tcPr>
            <w:tcW w:w="623" w:type="dxa"/>
          </w:tcPr>
          <w:p>
            <w:pPr>
              <w:rPr>
                <w:rFonts w:hint="eastAsia"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重点：商业银行风险的类别、管理、内部控制的目标、类型和方法</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难点：客户分析方法</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客户经理工作技能</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课程思政融入点：以习近平新时代中国特色社会主义经济思想指导金融发展，学习银行的营销管理</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15</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银行的风险管理</w:t>
            </w:r>
            <w:r>
              <w:rPr>
                <w:rFonts w:hint="eastAsia" w:ascii="PMingLiU" w:hAnsi="PMingLiU" w:eastAsia="宋体"/>
                <w:sz w:val="21"/>
                <w:szCs w:val="21"/>
                <w:lang w:eastAsia="zh-CN"/>
              </w:rPr>
              <w:t>实务</w:t>
            </w:r>
          </w:p>
        </w:tc>
        <w:tc>
          <w:tcPr>
            <w:tcW w:w="623" w:type="dxa"/>
          </w:tcPr>
          <w:p>
            <w:pPr>
              <w:rPr>
                <w:rFonts w:hint="eastAsia"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重点：银行营销管理体系</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客户分析方法</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客户经理的工作技能</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难点：商业银行风险预测</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课程思政融入点：以习近平新时代中国特色社会主义经济思想指导金融发展，学习银行的风险管理</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作业四</w:t>
            </w:r>
            <w:r>
              <w:rPr>
                <w:rFonts w:ascii="PMingLiU" w:hAnsi="PMingLiU" w:eastAsia="宋体"/>
                <w:sz w:val="21"/>
                <w:szCs w:val="21"/>
                <w:lang w:eastAsia="zh-CN"/>
              </w:rPr>
              <w:t>:</w:t>
            </w:r>
            <w:r>
              <w:rPr>
                <w:rFonts w:hint="eastAsia" w:ascii="PMingLiU" w:hAnsi="PMingLiU" w:eastAsia="宋体"/>
                <w:sz w:val="21"/>
                <w:szCs w:val="21"/>
                <w:lang w:eastAsia="zh-CN"/>
              </w:rPr>
              <w:t>银行</w:t>
            </w:r>
            <w:r>
              <w:rPr>
                <w:rFonts w:hint="eastAsia" w:asciiTheme="minorEastAsia" w:hAnsiTheme="minorEastAsia" w:eastAsiaTheme="minorEastAsia"/>
                <w:sz w:val="21"/>
                <w:szCs w:val="21"/>
                <w:lang w:eastAsia="zh-CN"/>
              </w:rPr>
              <w:t>风险管理</w:t>
            </w:r>
            <w:r>
              <w:rPr>
                <w:rFonts w:hint="eastAsia" w:ascii="PMingLiU" w:hAnsi="PMingLiU" w:eastAsia="宋体"/>
                <w:sz w:val="21"/>
                <w:szCs w:val="21"/>
                <w:lang w:eastAsia="zh-CN"/>
              </w:rPr>
              <w:t>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16</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银行经营管理绩效评价</w:t>
            </w:r>
            <w:r>
              <w:rPr>
                <w:rFonts w:hint="eastAsia" w:ascii="PMingLiU" w:hAnsi="PMingLiU" w:eastAsia="宋体"/>
                <w:sz w:val="21"/>
                <w:szCs w:val="21"/>
                <w:lang w:eastAsia="zh-CN"/>
              </w:rPr>
              <w:t>实务</w:t>
            </w:r>
          </w:p>
        </w:tc>
        <w:tc>
          <w:tcPr>
            <w:tcW w:w="623" w:type="dxa"/>
          </w:tcPr>
          <w:p>
            <w:pPr>
              <w:rPr>
                <w:rFonts w:hint="eastAsia" w:asciiTheme="minorEastAsia" w:hAnsiTheme="minorEastAsia"/>
                <w:sz w:val="21"/>
                <w:szCs w:val="21"/>
                <w:lang w:eastAsia="zh-TW"/>
              </w:rPr>
            </w:pPr>
            <w:r>
              <w:rPr>
                <w:rFonts w:eastAsia="宋体" w:asciiTheme="minorEastAsia" w:hAnsiTheme="minorEastAsia"/>
                <w:sz w:val="21"/>
                <w:szCs w:val="21"/>
                <w:lang w:eastAsia="zh-CN"/>
              </w:rPr>
              <w:t>3</w:t>
            </w:r>
          </w:p>
        </w:tc>
        <w:tc>
          <w:tcPr>
            <w:tcW w:w="4111" w:type="dxa"/>
            <w:gridSpan w:val="4"/>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重点：商业银行财务报表分析</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难点：商业银行绩效评价方法</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课程思政融入点：以习近平新时代中国特色社会主义经济思想指导金融发展，学习银行经营管理绩效评价</w:t>
            </w:r>
          </w:p>
        </w:tc>
        <w:tc>
          <w:tcPr>
            <w:tcW w:w="1198"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tcBorders>
              <w:top w:val="single" w:color="auto" w:sz="4" w:space="0"/>
            </w:tcBorders>
            <w:vAlign w:val="center"/>
          </w:tcPr>
          <w:p>
            <w:pPr>
              <w:spacing w:after="0" w:line="0" w:lineRule="atLeast"/>
              <w:jc w:val="right"/>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合计：</w:t>
            </w:r>
          </w:p>
        </w:tc>
        <w:tc>
          <w:tcPr>
            <w:tcW w:w="623" w:type="dxa"/>
            <w:tcBorders>
              <w:top w:val="single" w:color="auto" w:sz="4" w:space="0"/>
            </w:tcBorders>
            <w:vAlign w:val="center"/>
          </w:tcPr>
          <w:p>
            <w:pPr>
              <w:spacing w:after="0" w:line="0" w:lineRule="atLeast"/>
              <w:rPr>
                <w:rFonts w:asciiTheme="minorEastAsia" w:hAnsiTheme="minorEastAsia"/>
                <w:sz w:val="21"/>
                <w:szCs w:val="21"/>
                <w:lang w:eastAsia="zh-TW"/>
              </w:rPr>
            </w:pPr>
            <w:r>
              <w:rPr>
                <w:rFonts w:eastAsia="宋体" w:asciiTheme="minorEastAsia" w:hAnsiTheme="minorEastAsia"/>
                <w:sz w:val="21"/>
                <w:szCs w:val="21"/>
                <w:lang w:eastAsia="zh-CN"/>
              </w:rPr>
              <w:t>48</w:t>
            </w:r>
          </w:p>
        </w:tc>
        <w:tc>
          <w:tcPr>
            <w:tcW w:w="4111" w:type="dxa"/>
            <w:gridSpan w:val="4"/>
            <w:tcBorders>
              <w:top w:val="single" w:color="auto" w:sz="4" w:space="0"/>
            </w:tcBorders>
            <w:vAlign w:val="center"/>
          </w:tcPr>
          <w:p>
            <w:pPr>
              <w:spacing w:after="0" w:line="0" w:lineRule="atLeast"/>
              <w:rPr>
                <w:rFonts w:asciiTheme="minorEastAsia" w:hAnsiTheme="minorEastAsia" w:eastAsiaTheme="minorEastAsia"/>
                <w:sz w:val="21"/>
                <w:szCs w:val="21"/>
              </w:rPr>
            </w:pPr>
          </w:p>
        </w:tc>
        <w:tc>
          <w:tcPr>
            <w:tcW w:w="1198" w:type="dxa"/>
            <w:gridSpan w:val="2"/>
            <w:tcBorders>
              <w:top w:val="single" w:color="auto" w:sz="4" w:space="0"/>
            </w:tcBorders>
            <w:vAlign w:val="center"/>
          </w:tcPr>
          <w:p>
            <w:pPr>
              <w:spacing w:after="0" w:line="0" w:lineRule="atLeast"/>
              <w:rPr>
                <w:rFonts w:asciiTheme="minorEastAsia" w:hAnsiTheme="minorEastAsia" w:eastAsiaTheme="minorEastAsia"/>
                <w:sz w:val="21"/>
                <w:szCs w:val="21"/>
              </w:rPr>
            </w:pPr>
          </w:p>
        </w:tc>
        <w:tc>
          <w:tcPr>
            <w:tcW w:w="1091" w:type="dxa"/>
            <w:tcBorders>
              <w:top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周次</w:t>
            </w:r>
          </w:p>
        </w:tc>
        <w:tc>
          <w:tcPr>
            <w:tcW w:w="1729" w:type="dxa"/>
            <w:gridSpan w:val="2"/>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实验项目名称</w:t>
            </w:r>
          </w:p>
        </w:tc>
        <w:tc>
          <w:tcPr>
            <w:tcW w:w="623" w:type="dxa"/>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学时</w:t>
            </w:r>
          </w:p>
        </w:tc>
        <w:tc>
          <w:tcPr>
            <w:tcW w:w="3260" w:type="dxa"/>
            <w:gridSpan w:val="3"/>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重点与难点</w:t>
            </w:r>
          </w:p>
        </w:tc>
        <w:tc>
          <w:tcPr>
            <w:tcW w:w="851" w:type="dxa"/>
            <w:tcMar>
              <w:left w:w="28" w:type="dxa"/>
              <w:right w:w="28" w:type="dxa"/>
            </w:tcMar>
            <w:vAlign w:val="center"/>
          </w:tcPr>
          <w:p>
            <w:pPr>
              <w:spacing w:after="0" w:line="0" w:lineRule="atLeas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项目类型（验证</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综合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设计）</w:t>
            </w:r>
          </w:p>
        </w:tc>
        <w:tc>
          <w:tcPr>
            <w:tcW w:w="1198" w:type="dxa"/>
            <w:gridSpan w:val="2"/>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教学</w:t>
            </w:r>
          </w:p>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方式</w:t>
            </w:r>
          </w:p>
        </w:tc>
        <w:tc>
          <w:tcPr>
            <w:tcW w:w="1091" w:type="dxa"/>
            <w:tcMar>
              <w:left w:w="28" w:type="dxa"/>
              <w:right w:w="28" w:type="dxa"/>
            </w:tcMar>
            <w:vAlign w:val="center"/>
          </w:tcPr>
          <w:p>
            <w:pPr>
              <w:spacing w:after="0" w:line="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证券市场交易机制</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3260" w:type="dxa"/>
            <w:gridSpan w:val="3"/>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重点：各种有价证券种类与交易机制</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难点：证券市场交易实际运作方式</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课程思政融入点：以习近平新时代中国特色社会主义经济思想指导金融发展，学习金融市场各种有价证券种类与交易机制</w:t>
            </w:r>
          </w:p>
        </w:tc>
        <w:tc>
          <w:tcPr>
            <w:tcW w:w="851" w:type="dxa"/>
            <w:vAlign w:val="center"/>
          </w:tcPr>
          <w:p>
            <w:pPr>
              <w:spacing w:after="0" w:line="0" w:lineRule="atLeas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作业一</w:t>
            </w:r>
            <w:r>
              <w:rPr>
                <w:rFonts w:ascii="PMingLiU" w:hAnsi="PMingLiU" w:eastAsia="宋体"/>
                <w:sz w:val="21"/>
                <w:szCs w:val="21"/>
                <w:lang w:eastAsia="zh-CN"/>
              </w:rPr>
              <w:t>:</w:t>
            </w:r>
            <w:r>
              <w:rPr>
                <w:rFonts w:hint="eastAsia" w:ascii="PMingLiU" w:hAnsi="PMingLiU" w:eastAsia="宋体"/>
                <w:sz w:val="21"/>
                <w:szCs w:val="21"/>
                <w:lang w:eastAsia="zh-CN"/>
              </w:rPr>
              <w:t>证券市场研究报告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inorEastAsia" w:hAnsiTheme="minorEastAsia"/>
                <w:sz w:val="21"/>
                <w:szCs w:val="21"/>
                <w:lang w:eastAsia="zh-TW"/>
              </w:rPr>
            </w:pPr>
            <w:r>
              <w:rPr>
                <w:rFonts w:eastAsia="宋体" w:asciiTheme="minorEastAsia" w:hAnsiTheme="minorEastAsia"/>
                <w:sz w:val="21"/>
                <w:szCs w:val="21"/>
                <w:lang w:eastAsia="zh-CN"/>
              </w:rPr>
              <w:t>4</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股票投资组合分析</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3260" w:type="dxa"/>
            <w:gridSpan w:val="3"/>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重点：股票投资组合分析</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难点：股票报酬与风险衡量，风险分散</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课程思政融入点：以习近平新时代中国特色社会主义经济思想指导金融发展，学习股票投资组合分析与风险分散</w:t>
            </w:r>
          </w:p>
        </w:tc>
        <w:tc>
          <w:tcPr>
            <w:tcW w:w="851" w:type="dxa"/>
            <w:vAlign w:val="center"/>
          </w:tcPr>
          <w:p>
            <w:pPr>
              <w:spacing w:after="0" w:line="0" w:lineRule="atLeas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6</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投资分析</w:t>
            </w:r>
            <w:r>
              <w:rPr>
                <w:rFonts w:hint="eastAsia" w:ascii="PMingLiU" w:hAnsi="PMingLiU" w:eastAsia="宋体"/>
                <w:sz w:val="21"/>
                <w:szCs w:val="21"/>
                <w:lang w:eastAsia="zh-CN"/>
              </w:rPr>
              <w:t>实务</w:t>
            </w:r>
          </w:p>
        </w:tc>
        <w:tc>
          <w:tcPr>
            <w:tcW w:w="623" w:type="dxa"/>
          </w:tcPr>
          <w:p>
            <w:pPr>
              <w:rPr>
                <w:rFonts w:asciiTheme="minorEastAsia" w:hAnsiTheme="minorEastAsia"/>
                <w:sz w:val="21"/>
                <w:szCs w:val="21"/>
                <w:lang w:eastAsia="zh-TW"/>
              </w:rPr>
            </w:pPr>
            <w:r>
              <w:rPr>
                <w:rFonts w:eastAsia="宋体" w:asciiTheme="minorEastAsia" w:hAnsiTheme="minorEastAsia"/>
                <w:sz w:val="21"/>
                <w:szCs w:val="21"/>
                <w:lang w:eastAsia="zh-CN"/>
              </w:rPr>
              <w:t>3</w:t>
            </w:r>
          </w:p>
        </w:tc>
        <w:tc>
          <w:tcPr>
            <w:tcW w:w="3260" w:type="dxa"/>
            <w:gridSpan w:val="3"/>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基金种类与投资策略</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风险衡量</w:t>
            </w:r>
            <w:r>
              <w:rPr>
                <w:rFonts w:hint="eastAsia" w:ascii="PMingLiU" w:hAnsi="PMingLiU" w:eastAsia="宋体"/>
                <w:sz w:val="21"/>
                <w:szCs w:val="21"/>
                <w:lang w:eastAsia="zh-CN"/>
              </w:rPr>
              <w:t>与绩效评估</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基金</w:t>
            </w:r>
            <w:r>
              <w:rPr>
                <w:rFonts w:hint="eastAsia" w:asciiTheme="minorEastAsia" w:hAnsiTheme="minorEastAsia" w:eastAsiaTheme="minorEastAsia"/>
                <w:sz w:val="21"/>
                <w:szCs w:val="21"/>
                <w:lang w:eastAsia="zh-CN"/>
              </w:rPr>
              <w:t>投资</w:t>
            </w:r>
          </w:p>
        </w:tc>
        <w:tc>
          <w:tcPr>
            <w:tcW w:w="851" w:type="dxa"/>
            <w:vAlign w:val="center"/>
          </w:tcPr>
          <w:p>
            <w:pPr>
              <w:spacing w:after="0" w:line="0" w:lineRule="atLeas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7</w:t>
            </w:r>
          </w:p>
        </w:tc>
        <w:tc>
          <w:tcPr>
            <w:tcW w:w="1729" w:type="dxa"/>
            <w:gridSpan w:val="2"/>
          </w:tcPr>
          <w:p>
            <w:pPr>
              <w:rPr>
                <w:rFonts w:asciiTheme="minorEastAsia" w:hAnsiTheme="minorEastAsia" w:eastAsiaTheme="minorEastAsia"/>
                <w:sz w:val="21"/>
                <w:szCs w:val="21"/>
                <w:lang w:eastAsia="zh-CN"/>
              </w:rPr>
            </w:pPr>
            <w:r>
              <w:rPr>
                <w:rFonts w:hint="eastAsia" w:eastAsia="宋体" w:asciiTheme="minorEastAsia" w:hAnsiTheme="minorEastAsia"/>
                <w:sz w:val="21"/>
                <w:szCs w:val="21"/>
                <w:lang w:eastAsia="zh-CN"/>
              </w:rPr>
              <w:t>衍生性</w:t>
            </w:r>
            <w:r>
              <w:rPr>
                <w:rFonts w:hint="eastAsia" w:ascii="PMingLiU" w:hAnsi="PMingLiU" w:eastAsia="宋体"/>
                <w:sz w:val="21"/>
                <w:szCs w:val="21"/>
                <w:lang w:eastAsia="zh-CN"/>
              </w:rPr>
              <w:t>金融商品</w:t>
            </w:r>
            <w:r>
              <w:rPr>
                <w:rFonts w:hint="eastAsia" w:asciiTheme="minorEastAsia" w:hAnsiTheme="minorEastAsia" w:eastAsiaTheme="minorEastAsia"/>
                <w:sz w:val="21"/>
                <w:szCs w:val="21"/>
                <w:lang w:eastAsia="zh-CN"/>
              </w:rPr>
              <w:t>投资分析</w:t>
            </w:r>
            <w:r>
              <w:rPr>
                <w:rFonts w:hint="eastAsia" w:ascii="PMingLiU" w:hAnsi="PMingLiU" w:eastAsia="宋体"/>
                <w:sz w:val="21"/>
                <w:szCs w:val="21"/>
                <w:lang w:eastAsia="zh-CN"/>
              </w:rPr>
              <w:t>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3260" w:type="dxa"/>
            <w:gridSpan w:val="3"/>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股票期权</w:t>
            </w:r>
            <w:r>
              <w:rPr>
                <w:rFonts w:hint="eastAsia" w:eastAsia="宋体" w:asciiTheme="minorEastAsia" w:hAnsiTheme="minorEastAsia"/>
                <w:sz w:val="21"/>
                <w:szCs w:val="21"/>
                <w:lang w:eastAsia="zh-CN"/>
              </w:rPr>
              <w:t>定价、</w:t>
            </w:r>
            <w:r>
              <w:rPr>
                <w:rFonts w:hint="eastAsia" w:ascii="PMingLiU" w:hAnsi="PMingLiU" w:eastAsia="宋体"/>
                <w:sz w:val="21"/>
                <w:szCs w:val="21"/>
                <w:lang w:eastAsia="zh-CN"/>
              </w:rPr>
              <w:t>股票期权交易策略</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期权交易策略组合</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eastAsia="宋体" w:asciiTheme="minorEastAsia" w:hAnsiTheme="minorEastAsia"/>
                <w:sz w:val="21"/>
                <w:szCs w:val="21"/>
                <w:lang w:eastAsia="zh-CN"/>
              </w:rPr>
              <w:t>衍生性金融商品</w:t>
            </w:r>
            <w:r>
              <w:rPr>
                <w:rFonts w:hint="eastAsia" w:asciiTheme="minorEastAsia" w:hAnsiTheme="minorEastAsia" w:eastAsiaTheme="minorEastAsia"/>
                <w:sz w:val="21"/>
                <w:szCs w:val="21"/>
                <w:lang w:eastAsia="zh-CN"/>
              </w:rPr>
              <w:t>的</w:t>
            </w:r>
            <w:r>
              <w:rPr>
                <w:rFonts w:hint="eastAsia" w:ascii="PMingLiU" w:hAnsi="PMingLiU" w:eastAsia="宋体"/>
                <w:sz w:val="21"/>
                <w:szCs w:val="21"/>
                <w:lang w:eastAsia="zh-CN"/>
              </w:rPr>
              <w:t>交易策略组合</w:t>
            </w:r>
          </w:p>
        </w:tc>
        <w:tc>
          <w:tcPr>
            <w:tcW w:w="851" w:type="dxa"/>
            <w:vAlign w:val="center"/>
          </w:tcPr>
          <w:p>
            <w:pPr>
              <w:spacing w:after="0" w:line="0" w:lineRule="atLeas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作业二</w:t>
            </w:r>
            <w:r>
              <w:rPr>
                <w:rFonts w:ascii="PMingLiU" w:hAnsi="PMingLiU" w:eastAsia="宋体"/>
                <w:sz w:val="21"/>
                <w:szCs w:val="21"/>
                <w:lang w:eastAsia="zh-CN"/>
              </w:rPr>
              <w:t>:</w:t>
            </w:r>
            <w:r>
              <w:rPr>
                <w:rFonts w:hint="eastAsia" w:ascii="PMingLiU" w:hAnsi="PMingLiU" w:eastAsia="宋体"/>
                <w:sz w:val="21"/>
                <w:szCs w:val="21"/>
                <w:lang w:eastAsia="zh-CN"/>
              </w:rPr>
              <w:t>有价证券投资研究报告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8</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股票订价模型与投资实务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3260" w:type="dxa"/>
            <w:gridSpan w:val="3"/>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股票期权</w:t>
            </w:r>
            <w:r>
              <w:rPr>
                <w:rFonts w:hint="eastAsia" w:eastAsia="宋体" w:asciiTheme="minorEastAsia" w:hAnsiTheme="minorEastAsia"/>
                <w:sz w:val="21"/>
                <w:szCs w:val="21"/>
                <w:lang w:eastAsia="zh-CN"/>
              </w:rPr>
              <w:t>定价、</w:t>
            </w:r>
            <w:r>
              <w:rPr>
                <w:rFonts w:hint="eastAsia" w:ascii="PMingLiU" w:hAnsi="PMingLiU" w:eastAsia="宋体"/>
                <w:sz w:val="21"/>
                <w:szCs w:val="21"/>
                <w:lang w:eastAsia="zh-CN"/>
              </w:rPr>
              <w:t>股票期权交易策略</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期权交易策略组合</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eastAsia="宋体" w:asciiTheme="minorEastAsia" w:hAnsiTheme="minorEastAsia"/>
                <w:sz w:val="21"/>
                <w:szCs w:val="21"/>
                <w:lang w:eastAsia="zh-CN"/>
              </w:rPr>
              <w:t>衍</w:t>
            </w:r>
            <w:r>
              <w:rPr>
                <w:rFonts w:hint="eastAsia" w:ascii="PMingLiU" w:hAnsi="PMingLiU" w:eastAsia="宋体"/>
                <w:sz w:val="21"/>
                <w:szCs w:val="21"/>
                <w:lang w:eastAsia="zh-CN"/>
              </w:rPr>
              <w:t>股票订价</w:t>
            </w:r>
          </w:p>
        </w:tc>
        <w:tc>
          <w:tcPr>
            <w:tcW w:w="851" w:type="dxa"/>
            <w:vAlign w:val="center"/>
          </w:tcPr>
          <w:p>
            <w:pPr>
              <w:spacing w:after="0" w:line="0" w:lineRule="atLeas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9</w:t>
            </w:r>
          </w:p>
        </w:tc>
        <w:tc>
          <w:tcPr>
            <w:tcW w:w="1729" w:type="dxa"/>
            <w:gridSpan w:val="2"/>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期权订价模型与投资实务</w:t>
            </w:r>
          </w:p>
        </w:tc>
        <w:tc>
          <w:tcPr>
            <w:tcW w:w="623" w:type="dxa"/>
          </w:tcPr>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3</w:t>
            </w:r>
          </w:p>
        </w:tc>
        <w:tc>
          <w:tcPr>
            <w:tcW w:w="3260" w:type="dxa"/>
            <w:gridSpan w:val="3"/>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hint="eastAsia" w:ascii="PMingLiU" w:hAnsi="PMingLiU" w:eastAsia="宋体"/>
                <w:sz w:val="21"/>
                <w:szCs w:val="21"/>
                <w:lang w:eastAsia="zh-CN"/>
              </w:rPr>
              <w:t>期权订价模型与计算</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hint="eastAsia" w:ascii="PMingLiU" w:hAnsi="PMingLiU" w:eastAsia="宋体"/>
                <w:sz w:val="21"/>
                <w:szCs w:val="21"/>
                <w:lang w:eastAsia="zh-CN"/>
              </w:rPr>
              <w:t>期权订价因子</w:t>
            </w:r>
          </w:p>
          <w:p>
            <w:pPr>
              <w:rPr>
                <w:rFonts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w:t>
            </w:r>
            <w:r>
              <w:rPr>
                <w:rFonts w:hint="eastAsia" w:ascii="PMingLiU" w:hAnsi="PMingLiU" w:eastAsia="宋体"/>
                <w:sz w:val="21"/>
                <w:szCs w:val="21"/>
                <w:lang w:eastAsia="zh-CN"/>
              </w:rPr>
              <w:t>期权订价</w:t>
            </w:r>
          </w:p>
        </w:tc>
        <w:tc>
          <w:tcPr>
            <w:tcW w:w="851" w:type="dxa"/>
            <w:vAlign w:val="center"/>
          </w:tcPr>
          <w:p>
            <w:pPr>
              <w:spacing w:after="0" w:line="0" w:lineRule="atLeas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12</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银行的表外业务</w:t>
            </w:r>
            <w:r>
              <w:rPr>
                <w:rFonts w:hint="eastAsia" w:ascii="PMingLiU" w:hAnsi="PMingLiU" w:eastAsia="宋体"/>
                <w:sz w:val="21"/>
                <w:szCs w:val="21"/>
                <w:lang w:eastAsia="zh-CN"/>
              </w:rPr>
              <w:t>实务</w:t>
            </w:r>
          </w:p>
        </w:tc>
        <w:tc>
          <w:tcPr>
            <w:tcW w:w="623" w:type="dxa"/>
          </w:tcPr>
          <w:p>
            <w:pPr>
              <w:rPr>
                <w:rFonts w:hint="eastAsia" w:asciiTheme="minorEastAsia" w:hAnsiTheme="minorEastAsia"/>
                <w:sz w:val="21"/>
                <w:szCs w:val="21"/>
                <w:lang w:eastAsia="zh-TW"/>
              </w:rPr>
            </w:pPr>
            <w:r>
              <w:rPr>
                <w:rFonts w:eastAsia="宋体" w:asciiTheme="minorEastAsia" w:hAnsiTheme="minorEastAsia"/>
                <w:sz w:val="21"/>
                <w:szCs w:val="21"/>
                <w:lang w:eastAsia="zh-CN"/>
              </w:rPr>
              <w:t>3</w:t>
            </w:r>
          </w:p>
        </w:tc>
        <w:tc>
          <w:tcPr>
            <w:tcW w:w="3260" w:type="dxa"/>
            <w:gridSpan w:val="3"/>
          </w:tcPr>
          <w:p>
            <w:pPr>
              <w:rPr>
                <w:rFonts w:asciiTheme="minorEastAsia" w:hAnsiTheme="minorEastAsia"/>
                <w:sz w:val="21"/>
                <w:szCs w:val="21"/>
                <w:lang w:eastAsia="zh-CN"/>
              </w:rPr>
            </w:pPr>
            <w:r>
              <w:rPr>
                <w:rFonts w:hint="eastAsia" w:asciiTheme="minorEastAsia" w:hAnsiTheme="minorEastAsia" w:eastAsiaTheme="minorEastAsia"/>
                <w:sz w:val="21"/>
                <w:szCs w:val="21"/>
                <w:lang w:eastAsia="zh-CN"/>
              </w:rPr>
              <w:t>重点：</w:t>
            </w:r>
            <w:r>
              <w:rPr>
                <w:rFonts w:eastAsia="宋体" w:asciiTheme="minorEastAsia" w:hAnsiTheme="minorEastAsia"/>
                <w:sz w:val="21"/>
                <w:szCs w:val="21"/>
                <w:lang w:eastAsia="zh-CN"/>
              </w:rPr>
              <w:t>中间业务及其相关性概念和框架</w:t>
            </w:r>
          </w:p>
          <w:p>
            <w:pPr>
              <w:rPr>
                <w:rFonts w:ascii="PMingLiU" w:hAnsi="PMingLiU"/>
                <w:sz w:val="21"/>
                <w:szCs w:val="21"/>
                <w:lang w:eastAsia="zh-TW"/>
              </w:rPr>
            </w:pPr>
            <w:r>
              <w:rPr>
                <w:rFonts w:hint="eastAsia" w:asciiTheme="minorEastAsia" w:hAnsiTheme="minorEastAsia" w:eastAsiaTheme="minorEastAsia"/>
                <w:sz w:val="21"/>
                <w:szCs w:val="21"/>
                <w:lang w:eastAsia="zh-CN"/>
              </w:rPr>
              <w:t>难点：</w:t>
            </w:r>
            <w:r>
              <w:rPr>
                <w:rFonts w:eastAsia="宋体" w:asciiTheme="minorEastAsia" w:hAnsiTheme="minorEastAsia"/>
                <w:sz w:val="21"/>
                <w:szCs w:val="21"/>
                <w:lang w:eastAsia="zh-CN"/>
              </w:rPr>
              <w:t>创新业务</w:t>
            </w:r>
          </w:p>
          <w:p>
            <w:pPr>
              <w:rPr>
                <w:rFonts w:hint="eastAsia" w:asciiTheme="minorEastAsia" w:hAnsiTheme="minorEastAsia"/>
                <w:sz w:val="21"/>
                <w:szCs w:val="21"/>
                <w:lang w:eastAsia="zh-TW"/>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课程思政融入点：以习近平新时代中国特色社会主义经济思想指导金融发展，学习银行的表外业务</w:t>
            </w:r>
          </w:p>
        </w:tc>
        <w:tc>
          <w:tcPr>
            <w:tcW w:w="851" w:type="dxa"/>
            <w:vAlign w:val="center"/>
          </w:tcPr>
          <w:p>
            <w:pPr>
              <w:spacing w:after="0" w:line="0" w:lineRule="atLeas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作业三</w:t>
            </w:r>
            <w:r>
              <w:rPr>
                <w:rFonts w:ascii="PMingLiU" w:hAnsi="PMingLiU" w:eastAsia="宋体"/>
                <w:sz w:val="21"/>
                <w:szCs w:val="21"/>
                <w:lang w:eastAsia="zh-CN"/>
              </w:rPr>
              <w:t>:</w:t>
            </w:r>
            <w:r>
              <w:rPr>
                <w:rFonts w:hint="eastAsia" w:ascii="PMingLiU" w:hAnsi="PMingLiU" w:eastAsia="宋体"/>
                <w:sz w:val="21"/>
                <w:szCs w:val="21"/>
                <w:lang w:eastAsia="zh-CN"/>
              </w:rPr>
              <w:t>银行业务研究报告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14</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银行的营销管理</w:t>
            </w:r>
            <w:r>
              <w:rPr>
                <w:rFonts w:hint="eastAsia" w:ascii="PMingLiU" w:hAnsi="PMingLiU" w:eastAsia="宋体"/>
                <w:sz w:val="21"/>
                <w:szCs w:val="21"/>
                <w:lang w:eastAsia="zh-CN"/>
              </w:rPr>
              <w:t>实务</w:t>
            </w:r>
          </w:p>
        </w:tc>
        <w:tc>
          <w:tcPr>
            <w:tcW w:w="623" w:type="dxa"/>
          </w:tcPr>
          <w:p>
            <w:pPr>
              <w:rPr>
                <w:rFonts w:hint="eastAsia" w:asciiTheme="minorEastAsia" w:hAnsiTheme="minorEastAsia"/>
                <w:sz w:val="21"/>
                <w:szCs w:val="21"/>
                <w:lang w:eastAsia="zh-TW"/>
              </w:rPr>
            </w:pPr>
            <w:r>
              <w:rPr>
                <w:rFonts w:eastAsia="宋体" w:asciiTheme="minorEastAsia" w:hAnsiTheme="minorEastAsia"/>
                <w:sz w:val="21"/>
                <w:szCs w:val="21"/>
                <w:lang w:eastAsia="zh-CN"/>
              </w:rPr>
              <w:t>3</w:t>
            </w:r>
          </w:p>
        </w:tc>
        <w:tc>
          <w:tcPr>
            <w:tcW w:w="3260" w:type="dxa"/>
            <w:gridSpan w:val="3"/>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重点：商业银行风险的类别、管理、内部控制的目标、类型和方法</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难点：客户分析方法</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客户经理工作技能</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课程思政融入点：以习近平新时代中国特色社会主义经济思想指导金融发展，学习银行的营销管理</w:t>
            </w:r>
          </w:p>
        </w:tc>
        <w:tc>
          <w:tcPr>
            <w:tcW w:w="851" w:type="dxa"/>
            <w:vAlign w:val="center"/>
          </w:tcPr>
          <w:p>
            <w:pPr>
              <w:spacing w:after="0" w:line="0" w:lineRule="atLeas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15</w:t>
            </w:r>
          </w:p>
        </w:tc>
        <w:tc>
          <w:tcPr>
            <w:tcW w:w="1729" w:type="dxa"/>
            <w:gridSpan w:val="2"/>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银行的风险管理</w:t>
            </w:r>
            <w:r>
              <w:rPr>
                <w:rFonts w:hint="eastAsia" w:ascii="PMingLiU" w:hAnsi="PMingLiU" w:eastAsia="宋体"/>
                <w:sz w:val="21"/>
                <w:szCs w:val="21"/>
                <w:lang w:eastAsia="zh-CN"/>
              </w:rPr>
              <w:t>实务</w:t>
            </w:r>
          </w:p>
        </w:tc>
        <w:tc>
          <w:tcPr>
            <w:tcW w:w="623" w:type="dxa"/>
          </w:tcPr>
          <w:p>
            <w:pPr>
              <w:rPr>
                <w:rFonts w:hint="eastAsia" w:asciiTheme="minorEastAsia" w:hAnsiTheme="minorEastAsia"/>
                <w:sz w:val="21"/>
                <w:szCs w:val="21"/>
                <w:lang w:eastAsia="zh-TW"/>
              </w:rPr>
            </w:pPr>
            <w:r>
              <w:rPr>
                <w:rFonts w:eastAsia="宋体" w:asciiTheme="minorEastAsia" w:hAnsiTheme="minorEastAsia"/>
                <w:sz w:val="21"/>
                <w:szCs w:val="21"/>
                <w:lang w:eastAsia="zh-CN"/>
              </w:rPr>
              <w:t>3</w:t>
            </w:r>
          </w:p>
        </w:tc>
        <w:tc>
          <w:tcPr>
            <w:tcW w:w="3260" w:type="dxa"/>
            <w:gridSpan w:val="3"/>
          </w:tcPr>
          <w:p>
            <w:pPr>
              <w:rPr>
                <w:rFonts w:asciiTheme="minorEastAsia" w:hAnsiTheme="minorEastAsia"/>
                <w:b/>
                <w:sz w:val="21"/>
                <w:szCs w:val="21"/>
                <w:lang w:eastAsia="zh-CN"/>
              </w:rPr>
            </w:pPr>
            <w:r>
              <w:rPr>
                <w:rFonts w:hint="eastAsia" w:asciiTheme="minorEastAsia" w:hAnsiTheme="minorEastAsia" w:eastAsiaTheme="minorEastAsia"/>
                <w:sz w:val="21"/>
                <w:szCs w:val="21"/>
                <w:lang w:eastAsia="zh-CN"/>
              </w:rPr>
              <w:t>重点：银行营销管理体系</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客户分析方法</w:t>
            </w:r>
            <w:r>
              <w:rPr>
                <w:rFonts w:hint="eastAsia" w:ascii="PMingLiU" w:hAnsi="PMingLiU" w:eastAsia="宋体"/>
                <w:sz w:val="21"/>
                <w:szCs w:val="21"/>
                <w:lang w:eastAsia="zh-CN"/>
              </w:rPr>
              <w:t>、</w:t>
            </w:r>
            <w:r>
              <w:rPr>
                <w:rFonts w:hint="eastAsia" w:asciiTheme="minorEastAsia" w:hAnsiTheme="minorEastAsia" w:eastAsiaTheme="minorEastAsia"/>
                <w:sz w:val="21"/>
                <w:szCs w:val="21"/>
                <w:lang w:eastAsia="zh-CN"/>
              </w:rPr>
              <w:t>客户经理的工作技能</w:t>
            </w:r>
          </w:p>
          <w:p>
            <w:pPr>
              <w:rPr>
                <w:rFonts w:ascii="PMingLiU" w:hAnsi="PMingLiU"/>
                <w:sz w:val="21"/>
                <w:szCs w:val="21"/>
                <w:lang w:eastAsia="zh-TW"/>
              </w:rPr>
            </w:pPr>
            <w:r>
              <w:rPr>
                <w:rFonts w:hint="eastAsia" w:asciiTheme="minorEastAsia" w:hAnsiTheme="minorEastAsia" w:eastAsiaTheme="minorEastAsia"/>
                <w:sz w:val="21"/>
                <w:szCs w:val="21"/>
                <w:lang w:eastAsia="zh-CN"/>
              </w:rPr>
              <w:t>难点：商业银行风险预测</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课程思政融入点：以习近平新时代中国特色社会主义经济思想指导金融发展，学习银行的风险管理</w:t>
            </w:r>
          </w:p>
        </w:tc>
        <w:tc>
          <w:tcPr>
            <w:tcW w:w="851" w:type="dxa"/>
            <w:vAlign w:val="center"/>
          </w:tcPr>
          <w:p>
            <w:pPr>
              <w:spacing w:after="0" w:line="0" w:lineRule="atLeas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综合</w:t>
            </w:r>
          </w:p>
        </w:tc>
        <w:tc>
          <w:tcPr>
            <w:tcW w:w="1198" w:type="dxa"/>
            <w:gridSpan w:val="2"/>
          </w:tcPr>
          <w:p>
            <w:pPr>
              <w:jc w:val="left"/>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小组讨论</w:t>
            </w:r>
          </w:p>
        </w:tc>
        <w:tc>
          <w:tcPr>
            <w:tcW w:w="1091" w:type="dxa"/>
          </w:tcPr>
          <w:p>
            <w:pPr>
              <w:rPr>
                <w:rFonts w:asciiTheme="minorEastAsia" w:hAnsiTheme="minorEastAsia" w:eastAsiaTheme="minorEastAsia"/>
                <w:sz w:val="21"/>
                <w:szCs w:val="21"/>
                <w:lang w:eastAsia="zh-CN"/>
              </w:rPr>
            </w:pPr>
            <w:r>
              <w:rPr>
                <w:rFonts w:hint="eastAsia" w:ascii="PMingLiU" w:hAnsi="PMingLiU" w:eastAsia="宋体"/>
                <w:sz w:val="21"/>
                <w:szCs w:val="21"/>
                <w:lang w:eastAsia="zh-CN"/>
              </w:rPr>
              <w:t>作业四</w:t>
            </w:r>
            <w:r>
              <w:rPr>
                <w:rFonts w:ascii="PMingLiU" w:hAnsi="PMingLiU" w:eastAsia="宋体"/>
                <w:sz w:val="21"/>
                <w:szCs w:val="21"/>
                <w:lang w:eastAsia="zh-CN"/>
              </w:rPr>
              <w:t>:</w:t>
            </w:r>
            <w:r>
              <w:rPr>
                <w:rFonts w:hint="eastAsia" w:ascii="PMingLiU" w:hAnsi="PMingLiU" w:eastAsia="宋体"/>
                <w:sz w:val="21"/>
                <w:szCs w:val="21"/>
                <w:lang w:eastAsia="zh-CN"/>
              </w:rPr>
              <w:t>银行</w:t>
            </w:r>
            <w:r>
              <w:rPr>
                <w:rFonts w:hint="eastAsia" w:asciiTheme="minorEastAsia" w:hAnsiTheme="minorEastAsia" w:eastAsiaTheme="minorEastAsia"/>
                <w:sz w:val="21"/>
                <w:szCs w:val="21"/>
                <w:lang w:eastAsia="zh-CN"/>
              </w:rPr>
              <w:t>风险管理</w:t>
            </w:r>
            <w:r>
              <w:rPr>
                <w:rFonts w:hint="eastAsia" w:ascii="PMingLiU" w:hAnsi="PMingLiU" w:eastAsia="宋体"/>
                <w:sz w:val="21"/>
                <w:szCs w:val="21"/>
                <w:lang w:eastAsia="zh-CN"/>
              </w:rPr>
              <w:t>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vAlign w:val="center"/>
          </w:tcPr>
          <w:p>
            <w:pPr>
              <w:spacing w:after="0" w:line="0" w:lineRule="atLeast"/>
              <w:jc w:val="right"/>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合计：</w:t>
            </w:r>
          </w:p>
        </w:tc>
        <w:tc>
          <w:tcPr>
            <w:tcW w:w="623" w:type="dxa"/>
            <w:vAlign w:val="center"/>
          </w:tcPr>
          <w:p>
            <w:pPr>
              <w:spacing w:after="0" w:line="0" w:lineRule="atLeast"/>
              <w:jc w:val="center"/>
              <w:rPr>
                <w:rFonts w:hint="eastAsia" w:asciiTheme="minorEastAsia" w:hAnsiTheme="minorEastAsia"/>
                <w:sz w:val="21"/>
                <w:szCs w:val="21"/>
                <w:lang w:eastAsia="zh-TW"/>
              </w:rPr>
            </w:pPr>
            <w:r>
              <w:rPr>
                <w:rFonts w:eastAsia="宋体" w:asciiTheme="minorEastAsia" w:hAnsiTheme="minorEastAsia"/>
                <w:sz w:val="21"/>
                <w:szCs w:val="21"/>
                <w:lang w:eastAsia="zh-CN"/>
              </w:rPr>
              <w:t>27</w:t>
            </w:r>
          </w:p>
        </w:tc>
        <w:tc>
          <w:tcPr>
            <w:tcW w:w="3260" w:type="dxa"/>
            <w:gridSpan w:val="3"/>
            <w:vAlign w:val="center"/>
          </w:tcPr>
          <w:p>
            <w:pPr>
              <w:spacing w:after="0" w:line="0" w:lineRule="atLeast"/>
              <w:rPr>
                <w:rFonts w:asciiTheme="minorEastAsia" w:hAnsiTheme="minorEastAsia" w:eastAsiaTheme="minorEastAsia"/>
                <w:sz w:val="21"/>
                <w:szCs w:val="21"/>
              </w:rPr>
            </w:pPr>
          </w:p>
        </w:tc>
        <w:tc>
          <w:tcPr>
            <w:tcW w:w="851" w:type="dxa"/>
            <w:vAlign w:val="center"/>
          </w:tcPr>
          <w:p>
            <w:pPr>
              <w:spacing w:after="0" w:line="0" w:lineRule="atLeast"/>
              <w:rPr>
                <w:rFonts w:asciiTheme="minorEastAsia" w:hAnsiTheme="minorEastAsia" w:eastAsiaTheme="minorEastAsia"/>
                <w:sz w:val="21"/>
                <w:szCs w:val="21"/>
              </w:rPr>
            </w:pPr>
          </w:p>
        </w:tc>
        <w:tc>
          <w:tcPr>
            <w:tcW w:w="1198" w:type="dxa"/>
            <w:gridSpan w:val="2"/>
            <w:vAlign w:val="center"/>
          </w:tcPr>
          <w:p>
            <w:pPr>
              <w:spacing w:after="0" w:line="0" w:lineRule="atLeast"/>
              <w:rPr>
                <w:rFonts w:asciiTheme="minorEastAsia" w:hAnsiTheme="minorEastAsia" w:eastAsiaTheme="minorEastAsia"/>
                <w:sz w:val="21"/>
                <w:szCs w:val="21"/>
              </w:rPr>
            </w:pPr>
          </w:p>
        </w:tc>
        <w:tc>
          <w:tcPr>
            <w:tcW w:w="1091" w:type="dxa"/>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eastAsiaTheme="minorEastAsia"/>
                <w:szCs w:val="21"/>
                <w:lang w:eastAsia="zh-CN"/>
              </w:rPr>
            </w:pPr>
            <w:r>
              <w:rPr>
                <w:rFonts w:hint="eastAsia" w:eastAsiaTheme="minorEastAsia"/>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spacing w:after="0" w:line="0" w:lineRule="atLeast"/>
              <w:jc w:val="center"/>
              <w:rPr>
                <w:rFonts w:eastAsiaTheme="minorEastAsia"/>
                <w:sz w:val="21"/>
                <w:szCs w:val="21"/>
              </w:rPr>
            </w:pPr>
            <w:r>
              <w:rPr>
                <w:rFonts w:hint="eastAsia" w:eastAsiaTheme="minorEastAsia"/>
                <w:sz w:val="21"/>
                <w:szCs w:val="21"/>
                <w:lang w:eastAsia="zh-CN"/>
              </w:rPr>
              <w:t>考核内容</w:t>
            </w:r>
          </w:p>
        </w:tc>
        <w:tc>
          <w:tcPr>
            <w:tcW w:w="5811" w:type="dxa"/>
            <w:gridSpan w:val="7"/>
            <w:vAlign w:val="center"/>
          </w:tcPr>
          <w:p>
            <w:pPr>
              <w:snapToGrid w:val="0"/>
              <w:spacing w:after="0" w:line="0" w:lineRule="atLeast"/>
              <w:ind w:left="180"/>
              <w:jc w:val="center"/>
              <w:rPr>
                <w:rFonts w:eastAsiaTheme="minorEastAsia"/>
                <w:sz w:val="21"/>
                <w:szCs w:val="21"/>
              </w:rPr>
            </w:pPr>
            <w:r>
              <w:rPr>
                <w:rFonts w:hint="eastAsia" w:eastAsiaTheme="minorEastAsia"/>
                <w:sz w:val="21"/>
                <w:szCs w:val="21"/>
                <w:lang w:eastAsia="zh-CN"/>
              </w:rPr>
              <w:t>评价标准</w:t>
            </w:r>
          </w:p>
        </w:tc>
        <w:tc>
          <w:tcPr>
            <w:tcW w:w="1581" w:type="dxa"/>
            <w:gridSpan w:val="2"/>
            <w:vAlign w:val="center"/>
          </w:tcPr>
          <w:p>
            <w:pPr>
              <w:snapToGrid w:val="0"/>
              <w:spacing w:after="0" w:line="0" w:lineRule="atLeast"/>
              <w:ind w:left="180"/>
              <w:jc w:val="center"/>
              <w:rPr>
                <w:rFonts w:eastAsiaTheme="minorEastAsia"/>
                <w:sz w:val="21"/>
                <w:szCs w:val="21"/>
              </w:rPr>
            </w:pPr>
            <w:r>
              <w:rPr>
                <w:rFonts w:hint="eastAsia" w:eastAsiaTheme="minorEastAsia"/>
                <w:sz w:val="21"/>
                <w:szCs w:val="21"/>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宋体" w:hAnsi="宋体"/>
                <w:sz w:val="18"/>
                <w:szCs w:val="18"/>
              </w:rPr>
            </w:pPr>
            <w:r>
              <w:rPr>
                <w:rFonts w:hint="eastAsia" w:ascii="宋体" w:hAnsi="宋体" w:eastAsia="宋体"/>
                <w:sz w:val="18"/>
                <w:szCs w:val="18"/>
                <w:lang w:eastAsia="zh-CN"/>
              </w:rPr>
              <w:t>到堂情况</w:t>
            </w:r>
          </w:p>
        </w:tc>
        <w:tc>
          <w:tcPr>
            <w:tcW w:w="5811" w:type="dxa"/>
            <w:gridSpan w:val="7"/>
            <w:vAlign w:val="center"/>
          </w:tcPr>
          <w:p>
            <w:pPr>
              <w:snapToGrid w:val="0"/>
              <w:rPr>
                <w:rFonts w:ascii="宋体" w:hAnsi="宋体"/>
                <w:sz w:val="18"/>
                <w:szCs w:val="18"/>
                <w:lang w:eastAsia="zh-CN"/>
              </w:rPr>
            </w:pPr>
            <w:r>
              <w:rPr>
                <w:rFonts w:hint="eastAsia" w:ascii="宋体" w:hAnsi="宋体" w:eastAsia="宋体"/>
                <w:sz w:val="18"/>
                <w:szCs w:val="18"/>
                <w:lang w:eastAsia="zh-CN"/>
              </w:rPr>
              <w:t>不迟到、不早退、不旷课</w:t>
            </w:r>
          </w:p>
        </w:tc>
        <w:tc>
          <w:tcPr>
            <w:tcW w:w="1581" w:type="dxa"/>
            <w:gridSpan w:val="2"/>
            <w:vAlign w:val="center"/>
          </w:tcPr>
          <w:p>
            <w:pPr>
              <w:snapToGrid w:val="0"/>
              <w:ind w:left="180"/>
              <w:jc w:val="center"/>
              <w:rPr>
                <w:rFonts w:ascii="宋体" w:hAnsi="宋体"/>
                <w:sz w:val="18"/>
                <w:szCs w:val="18"/>
                <w:lang w:eastAsia="zh-TW"/>
              </w:rPr>
            </w:pPr>
            <w:r>
              <w:rPr>
                <w:rFonts w:ascii="宋体" w:hAnsi="宋体" w:eastAsia="宋体"/>
                <w:sz w:val="18"/>
                <w:szCs w:val="18"/>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宋体" w:hAnsi="宋体" w:eastAsia="宋体"/>
                <w:sz w:val="18"/>
                <w:szCs w:val="18"/>
                <w:lang w:eastAsia="zh-CN"/>
              </w:rPr>
            </w:pPr>
            <w:r>
              <w:rPr>
                <w:rFonts w:hint="eastAsia" w:ascii="宋体" w:hAnsi="宋体" w:eastAsia="宋体"/>
                <w:sz w:val="18"/>
                <w:szCs w:val="18"/>
                <w:lang w:eastAsia="zh-CN"/>
              </w:rPr>
              <w:t>平时作业</w:t>
            </w:r>
          </w:p>
        </w:tc>
        <w:tc>
          <w:tcPr>
            <w:tcW w:w="5811" w:type="dxa"/>
            <w:gridSpan w:val="7"/>
            <w:vAlign w:val="center"/>
          </w:tcPr>
          <w:p>
            <w:pPr>
              <w:snapToGrid w:val="0"/>
              <w:rPr>
                <w:rFonts w:ascii="宋体" w:hAnsi="宋体"/>
                <w:sz w:val="18"/>
                <w:szCs w:val="18"/>
                <w:lang w:eastAsia="zh-CN"/>
              </w:rPr>
            </w:pPr>
            <w:r>
              <w:rPr>
                <w:rFonts w:hint="eastAsia" w:ascii="宋体" w:hAnsi="宋体" w:eastAsia="宋体"/>
                <w:sz w:val="18"/>
                <w:szCs w:val="18"/>
                <w:lang w:eastAsia="zh-CN"/>
              </w:rPr>
              <w:t>根据评分标准评定分数</w:t>
            </w:r>
          </w:p>
        </w:tc>
        <w:tc>
          <w:tcPr>
            <w:tcW w:w="1581" w:type="dxa"/>
            <w:gridSpan w:val="2"/>
            <w:vAlign w:val="center"/>
          </w:tcPr>
          <w:p>
            <w:pPr>
              <w:snapToGrid w:val="0"/>
              <w:ind w:left="180"/>
              <w:jc w:val="center"/>
              <w:rPr>
                <w:rFonts w:hint="eastAsia" w:ascii="宋体" w:hAnsi="宋体"/>
                <w:sz w:val="18"/>
                <w:szCs w:val="18"/>
                <w:lang w:eastAsia="zh-TW"/>
              </w:rPr>
            </w:pPr>
            <w:r>
              <w:rPr>
                <w:rFonts w:ascii="宋体" w:hAnsi="宋体" w:eastAsia="宋体"/>
                <w:sz w:val="18"/>
                <w:szCs w:val="18"/>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宋体" w:hAnsi="宋体"/>
                <w:sz w:val="18"/>
                <w:szCs w:val="18"/>
                <w:lang w:eastAsia="zh-TW"/>
              </w:rPr>
            </w:pPr>
            <w:r>
              <w:rPr>
                <w:rFonts w:hint="eastAsia" w:ascii="宋体" w:hAnsi="宋体" w:eastAsia="宋体"/>
                <w:sz w:val="18"/>
                <w:szCs w:val="18"/>
                <w:lang w:eastAsia="zh-CN"/>
              </w:rPr>
              <w:t>期末</w:t>
            </w:r>
            <w:r>
              <w:rPr>
                <w:rFonts w:ascii="宋体" w:hAnsi="宋体" w:eastAsia="宋体"/>
                <w:sz w:val="18"/>
                <w:szCs w:val="18"/>
                <w:lang w:eastAsia="zh-CN"/>
              </w:rPr>
              <w:t>报</w:t>
            </w:r>
            <w:r>
              <w:rPr>
                <w:rFonts w:hint="eastAsia" w:ascii="宋体" w:hAnsi="宋体" w:eastAsia="宋体"/>
                <w:sz w:val="18"/>
                <w:szCs w:val="18"/>
                <w:lang w:eastAsia="zh-CN"/>
              </w:rPr>
              <w:t>告</w:t>
            </w:r>
          </w:p>
        </w:tc>
        <w:tc>
          <w:tcPr>
            <w:tcW w:w="5811" w:type="dxa"/>
            <w:gridSpan w:val="7"/>
          </w:tcPr>
          <w:p>
            <w:pPr>
              <w:snapToGrid w:val="0"/>
              <w:jc w:val="left"/>
              <w:rPr>
                <w:rFonts w:ascii="宋体" w:hAnsi="宋体"/>
                <w:sz w:val="18"/>
                <w:szCs w:val="18"/>
                <w:lang w:eastAsia="zh-CN"/>
              </w:rPr>
            </w:pPr>
            <w:r>
              <w:rPr>
                <w:rFonts w:hint="eastAsia" w:ascii="宋体" w:hAnsi="宋体" w:eastAsia="宋体"/>
                <w:sz w:val="18"/>
                <w:szCs w:val="18"/>
                <w:lang w:eastAsia="zh-CN"/>
              </w:rPr>
              <w:t>根据评分标准评定分数</w:t>
            </w:r>
          </w:p>
        </w:tc>
        <w:tc>
          <w:tcPr>
            <w:tcW w:w="1581" w:type="dxa"/>
            <w:gridSpan w:val="2"/>
            <w:vAlign w:val="center"/>
          </w:tcPr>
          <w:p>
            <w:pPr>
              <w:snapToGrid w:val="0"/>
              <w:ind w:left="180"/>
              <w:jc w:val="center"/>
              <w:rPr>
                <w:rFonts w:ascii="宋体" w:hAnsi="宋体"/>
                <w:sz w:val="18"/>
                <w:szCs w:val="18"/>
                <w:lang w:eastAsia="zh-TW"/>
              </w:rPr>
            </w:pPr>
            <w:r>
              <w:rPr>
                <w:rFonts w:ascii="宋体" w:hAnsi="宋体" w:eastAsia="宋体"/>
                <w:sz w:val="18"/>
                <w:szCs w:val="18"/>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snapToGrid w:val="0"/>
              <w:spacing w:after="0" w:line="0" w:lineRule="atLeast"/>
              <w:ind w:left="180"/>
              <w:rPr>
                <w:sz w:val="21"/>
                <w:szCs w:val="21"/>
                <w:lang w:eastAsia="zh-TW"/>
              </w:rPr>
            </w:pPr>
            <w:r>
              <w:rPr>
                <w:rFonts w:hint="eastAsia" w:eastAsiaTheme="minorEastAsia"/>
                <w:sz w:val="21"/>
                <w:szCs w:val="21"/>
                <w:lang w:eastAsia="zh-CN"/>
              </w:rPr>
              <w:t>大纲编写时间：</w:t>
            </w:r>
            <w:r>
              <w:rPr>
                <w:rFonts w:eastAsiaTheme="minorEastAsia"/>
                <w:sz w:val="21"/>
                <w:szCs w:val="21"/>
                <w:lang w:eastAsia="zh-CN"/>
              </w:rPr>
              <w:t>201</w:t>
            </w:r>
            <w:r>
              <w:rPr>
                <w:rFonts w:eastAsia="宋体"/>
                <w:sz w:val="21"/>
                <w:szCs w:val="21"/>
                <w:lang w:eastAsia="zh-CN"/>
              </w:rPr>
              <w:t>9</w:t>
            </w:r>
            <w:r>
              <w:rPr>
                <w:rFonts w:eastAsiaTheme="minorEastAsia"/>
                <w:sz w:val="21"/>
                <w:szCs w:val="21"/>
                <w:lang w:eastAsia="zh-CN"/>
              </w:rPr>
              <w:t>-0</w:t>
            </w:r>
            <w:r>
              <w:rPr>
                <w:rFonts w:eastAsia="宋体"/>
                <w:sz w:val="21"/>
                <w:szCs w:val="21"/>
                <w:lang w:eastAsia="zh-CN"/>
              </w:rPr>
              <w:t>8</w:t>
            </w:r>
            <w:r>
              <w:rPr>
                <w:rFonts w:eastAsiaTheme="minorEastAsia"/>
                <w:sz w:val="21"/>
                <w:szCs w:val="21"/>
                <w:lang w:eastAsia="zh-CN"/>
              </w:rPr>
              <w:t>-</w:t>
            </w:r>
            <w:r>
              <w:rPr>
                <w:rFonts w:eastAsia="宋体"/>
                <w:sz w:val="21"/>
                <w:szCs w:val="21"/>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9401" w:type="dxa"/>
            <w:gridSpan w:val="11"/>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系（部）审查意见：</w:t>
            </w:r>
          </w:p>
          <w:p>
            <w:pPr>
              <w:spacing w:after="0" w:line="0" w:lineRule="atLeast"/>
              <w:ind w:firstLine="476" w:firstLineChars="227"/>
              <w:jc w:val="left"/>
              <w:rPr>
                <w:sz w:val="21"/>
                <w:szCs w:val="21"/>
                <w:lang w:eastAsia="zh-TW"/>
              </w:rPr>
            </w:pPr>
          </w:p>
          <w:p>
            <w:pPr>
              <w:spacing w:after="0" w:line="0" w:lineRule="atLeast"/>
              <w:ind w:firstLine="476" w:firstLineChars="227"/>
              <w:jc w:val="left"/>
              <w:rPr>
                <w:rFonts w:ascii="宋体" w:hAnsi="宋体" w:eastAsia="宋体"/>
                <w:b/>
                <w:sz w:val="21"/>
                <w:szCs w:val="21"/>
                <w:lang w:eastAsia="zh-CN"/>
              </w:rPr>
            </w:pPr>
            <w:r>
              <w:rPr>
                <w:rFonts w:hint="eastAsia" w:eastAsiaTheme="minorEastAsia"/>
                <w:sz w:val="21"/>
                <w:szCs w:val="21"/>
                <w:lang w:eastAsia="zh-CN"/>
              </w:rPr>
              <w:t>我系（专业）已对本课程教学大纲进行了审查，同意执行</w:t>
            </w:r>
          </w:p>
          <w:p>
            <w:pPr>
              <w:spacing w:after="0" w:line="0" w:lineRule="atLeast"/>
              <w:ind w:right="420"/>
              <w:jc w:val="right"/>
              <w:rPr>
                <w:rFonts w:hint="eastAsia" w:ascii="宋体" w:hAnsi="宋体" w:eastAsia="宋体"/>
                <w:sz w:val="21"/>
                <w:szCs w:val="21"/>
                <w:lang w:eastAsia="zh-CN"/>
              </w:rPr>
            </w:pPr>
            <w:bookmarkStart w:id="0" w:name="_GoBack"/>
            <w:r>
              <w:rPr>
                <w:rFonts w:ascii="宋体" w:hAnsi="宋体" w:eastAsia="宋体"/>
                <w:sz w:val="21"/>
                <w:szCs w:val="21"/>
                <w:lang w:eastAsia="zh-CN"/>
              </w:rPr>
              <w:drawing>
                <wp:anchor distT="0" distB="0" distL="114300" distR="114300" simplePos="0" relativeHeight="251658240" behindDoc="0" locked="0" layoutInCell="1" allowOverlap="1">
                  <wp:simplePos x="0" y="0"/>
                  <wp:positionH relativeFrom="column">
                    <wp:posOffset>1139190</wp:posOffset>
                  </wp:positionH>
                  <wp:positionV relativeFrom="paragraph">
                    <wp:posOffset>13970</wp:posOffset>
                  </wp:positionV>
                  <wp:extent cx="1815465" cy="793115"/>
                  <wp:effectExtent l="0" t="0" r="13335" b="6985"/>
                  <wp:wrapSquare wrapText="bothSides"/>
                  <wp:docPr id="1" name="图片 1" descr="谢松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谢松霖"/>
                          <pic:cNvPicPr>
                            <a:picLocks noChangeAspect="1"/>
                          </pic:cNvPicPr>
                        </pic:nvPicPr>
                        <pic:blipFill>
                          <a:blip r:embed="rId5"/>
                          <a:stretch>
                            <a:fillRect/>
                          </a:stretch>
                        </pic:blipFill>
                        <pic:spPr>
                          <a:xfrm>
                            <a:off x="0" y="0"/>
                            <a:ext cx="1815465" cy="793115"/>
                          </a:xfrm>
                          <a:prstGeom prst="rect">
                            <a:avLst/>
                          </a:prstGeom>
                        </pic:spPr>
                      </pic:pic>
                    </a:graphicData>
                  </a:graphic>
                </wp:anchor>
              </w:drawing>
            </w:r>
            <w:bookmarkEnd w:id="0"/>
          </w:p>
          <w:p>
            <w:pPr>
              <w:spacing w:after="0" w:line="0" w:lineRule="atLeast"/>
              <w:ind w:right="420"/>
              <w:jc w:val="right"/>
              <w:rPr>
                <w:rFonts w:hint="eastAsia" w:ascii="宋体" w:hAnsi="宋体" w:eastAsia="宋体"/>
                <w:sz w:val="21"/>
                <w:szCs w:val="21"/>
                <w:lang w:eastAsia="zh-CN"/>
              </w:rPr>
            </w:pPr>
          </w:p>
          <w:p>
            <w:pPr>
              <w:spacing w:after="0" w:line="0" w:lineRule="atLeast"/>
              <w:ind w:right="420"/>
              <w:jc w:val="right"/>
              <w:rPr>
                <w:rFonts w:hint="eastAsia"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系（部）主任签名：</w:t>
            </w:r>
            <w:r>
              <w:rPr>
                <w:rFonts w:ascii="宋体" w:hAnsi="宋体" w:eastAsia="宋体"/>
                <w:sz w:val="21"/>
                <w:szCs w:val="21"/>
                <w:lang w:eastAsia="zh-CN"/>
              </w:rPr>
              <w:t xml:space="preserve">                         </w:t>
            </w:r>
            <w:r>
              <w:rPr>
                <w:rFonts w:hint="eastAsia" w:ascii="宋体" w:hAnsi="宋体" w:eastAsia="宋体"/>
                <w:sz w:val="21"/>
                <w:szCs w:val="21"/>
                <w:lang w:eastAsia="zh-CN"/>
              </w:rPr>
              <w:t>日期：</w:t>
            </w:r>
            <w:r>
              <w:rPr>
                <w:rFonts w:ascii="宋体" w:hAnsi="宋体" w:eastAsia="宋体"/>
                <w:sz w:val="21"/>
                <w:szCs w:val="21"/>
                <w:lang w:eastAsia="zh-CN"/>
              </w:rPr>
              <w:t xml:space="preserve">      </w:t>
            </w:r>
            <w:r>
              <w:rPr>
                <w:rFonts w:hint="eastAsia" w:ascii="宋体" w:hAnsi="宋体" w:eastAsia="宋体"/>
                <w:sz w:val="21"/>
                <w:szCs w:val="21"/>
                <w:lang w:eastAsia="zh-CN"/>
              </w:rPr>
              <w:t>年</w:t>
            </w:r>
            <w:r>
              <w:rPr>
                <w:rFonts w:ascii="宋体" w:hAnsi="宋体" w:eastAsia="宋体"/>
                <w:sz w:val="21"/>
                <w:szCs w:val="21"/>
                <w:lang w:eastAsia="zh-CN"/>
              </w:rPr>
              <w:t xml:space="preserve">    </w:t>
            </w:r>
            <w:r>
              <w:rPr>
                <w:rFonts w:hint="eastAsia" w:ascii="宋体" w:hAnsi="宋体" w:eastAsia="宋体"/>
                <w:sz w:val="21"/>
                <w:szCs w:val="21"/>
                <w:lang w:eastAsia="zh-CN"/>
              </w:rPr>
              <w:t>月</w:t>
            </w:r>
            <w:r>
              <w:rPr>
                <w:rFonts w:ascii="宋体" w:hAnsi="宋体" w:eastAsia="宋体"/>
                <w:sz w:val="21"/>
                <w:szCs w:val="21"/>
                <w:lang w:eastAsia="zh-CN"/>
              </w:rPr>
              <w:t xml:space="preserve">    </w:t>
            </w:r>
            <w:r>
              <w:rPr>
                <w:rFonts w:hint="eastAsia" w:ascii="宋体" w:hAnsi="宋体" w:eastAsia="宋体"/>
                <w:sz w:val="21"/>
                <w:szCs w:val="21"/>
                <w:lang w:eastAsia="zh-CN"/>
              </w:rPr>
              <w:t>日</w:t>
            </w:r>
          </w:p>
          <w:p>
            <w:pPr>
              <w:spacing w:after="0" w:line="0" w:lineRule="atLeast"/>
              <w:ind w:right="420"/>
              <w:jc w:val="right"/>
              <w:rPr>
                <w:rFonts w:eastAsiaTheme="minorEastAsia"/>
                <w:sz w:val="21"/>
                <w:szCs w:val="21"/>
                <w:lang w:eastAsia="zh-CN"/>
              </w:rPr>
            </w:pPr>
          </w:p>
        </w:tc>
      </w:tr>
    </w:tbl>
    <w:p>
      <w:pPr>
        <w:ind w:left="735" w:hanging="735" w:hangingChars="350"/>
        <w:rPr>
          <w:rFonts w:eastAsiaTheme="minorEastAsia"/>
          <w:sz w:val="21"/>
          <w:szCs w:val="21"/>
          <w:lang w:eastAsia="zh-CN"/>
        </w:rPr>
      </w:pPr>
      <w:r>
        <w:rPr>
          <w:rFonts w:hint="eastAsia" w:eastAsiaTheme="minorEastAsia"/>
          <w:bCs/>
          <w:sz w:val="21"/>
          <w:szCs w:val="21"/>
          <w:lang w:eastAsia="zh-CN"/>
        </w:rPr>
        <w:t>注：</w:t>
      </w:r>
      <w:r>
        <w:rPr>
          <w:rFonts w:eastAsiaTheme="minorEastAsia"/>
          <w:bCs/>
          <w:sz w:val="21"/>
          <w:szCs w:val="21"/>
          <w:lang w:eastAsia="zh-CN"/>
        </w:rPr>
        <w:t>1</w:t>
      </w:r>
      <w:r>
        <w:rPr>
          <w:rFonts w:hint="eastAsia" w:eastAsiaTheme="minorEastAsia"/>
          <w:bCs/>
          <w:sz w:val="21"/>
          <w:szCs w:val="21"/>
          <w:lang w:eastAsia="zh-CN"/>
        </w:rPr>
        <w:t>、课程</w:t>
      </w:r>
      <w:r>
        <w:rPr>
          <w:rFonts w:hint="eastAsia" w:eastAsiaTheme="minorEastAsia"/>
          <w:sz w:val="21"/>
          <w:szCs w:val="21"/>
          <w:lang w:eastAsia="zh-CN"/>
        </w:rPr>
        <w:t>教学目标：请精炼概括</w:t>
      </w:r>
      <w:r>
        <w:rPr>
          <w:rFonts w:eastAsiaTheme="minorEastAsia"/>
          <w:sz w:val="21"/>
          <w:szCs w:val="21"/>
          <w:lang w:eastAsia="zh-CN"/>
        </w:rPr>
        <w:t>3-5</w:t>
      </w:r>
      <w:r>
        <w:rPr>
          <w:rFonts w:hint="eastAsia" w:eastAsiaTheme="minorEastAsia"/>
          <w:sz w:val="21"/>
          <w:szCs w:val="21"/>
          <w:lang w:eastAsia="zh-CN"/>
        </w:rPr>
        <w:t>条目标，并注明每条目标所要求的学习目标层次（理解、运用、分析、综合和评价）。本课程教学目标须与授课对象的专业培养目标有一定的对应关系</w:t>
      </w:r>
    </w:p>
    <w:p>
      <w:pPr>
        <w:ind w:left="735" w:hanging="735" w:hangingChars="350"/>
        <w:rPr>
          <w:rFonts w:eastAsiaTheme="minorEastAsia"/>
          <w:sz w:val="21"/>
          <w:szCs w:val="21"/>
          <w:lang w:eastAsia="zh-CN"/>
        </w:rPr>
      </w:pPr>
      <w:r>
        <w:rPr>
          <w:rFonts w:eastAsiaTheme="minorEastAsia"/>
          <w:sz w:val="21"/>
          <w:szCs w:val="21"/>
          <w:lang w:eastAsia="zh-CN"/>
        </w:rPr>
        <w:t xml:space="preserve">    2</w:t>
      </w:r>
      <w:r>
        <w:rPr>
          <w:rFonts w:hint="eastAsia" w:eastAsiaTheme="minorEastAsia"/>
          <w:sz w:val="21"/>
          <w:szCs w:val="21"/>
          <w:lang w:eastAsia="zh-CN"/>
        </w:rPr>
        <w:t>、学生核心能力即毕业要求或培养要求，请任课教师从授课对象人才培养方案中对应部分复制（</w:t>
      </w:r>
      <w:r>
        <w:rPr>
          <w:rFonts w:eastAsiaTheme="minorEastAsia"/>
          <w:sz w:val="21"/>
          <w:szCs w:val="21"/>
          <w:lang w:eastAsia="zh-CN"/>
        </w:rPr>
        <w:t>http://jwc.dgut.edu.cn/</w:t>
      </w:r>
      <w:r>
        <w:rPr>
          <w:rFonts w:hint="eastAsia" w:eastAsiaTheme="minorEastAsia"/>
          <w:sz w:val="21"/>
          <w:szCs w:val="21"/>
          <w:lang w:eastAsia="zh-CN"/>
        </w:rPr>
        <w:t>）</w:t>
      </w:r>
    </w:p>
    <w:p>
      <w:pPr>
        <w:ind w:left="735" w:hanging="735" w:hangingChars="350"/>
        <w:rPr>
          <w:rFonts w:eastAsiaTheme="minorEastAsia"/>
          <w:sz w:val="21"/>
          <w:szCs w:val="21"/>
          <w:lang w:eastAsia="zh-CN"/>
        </w:rPr>
      </w:pPr>
      <w:r>
        <w:rPr>
          <w:rFonts w:eastAsiaTheme="minorEastAsia"/>
          <w:sz w:val="21"/>
          <w:szCs w:val="21"/>
          <w:lang w:eastAsia="zh-CN"/>
        </w:rPr>
        <w:t xml:space="preserve">    3</w:t>
      </w:r>
      <w:r>
        <w:rPr>
          <w:rFonts w:hint="eastAsia" w:eastAsiaTheme="minorEastAsia"/>
          <w:sz w:val="21"/>
          <w:szCs w:val="21"/>
          <w:lang w:eastAsia="zh-CN"/>
        </w:rPr>
        <w:t>、教学方式可选：课堂讲授</w:t>
      </w:r>
      <w:r>
        <w:rPr>
          <w:rFonts w:eastAsiaTheme="minorEastAsia"/>
          <w:sz w:val="21"/>
          <w:szCs w:val="21"/>
          <w:lang w:eastAsia="zh-CN"/>
        </w:rPr>
        <w:t>/</w:t>
      </w:r>
      <w:r>
        <w:rPr>
          <w:rFonts w:hint="eastAsia" w:eastAsiaTheme="minorEastAsia"/>
          <w:sz w:val="21"/>
          <w:szCs w:val="21"/>
          <w:lang w:eastAsia="zh-CN"/>
        </w:rPr>
        <w:t>小组讨论</w:t>
      </w:r>
      <w:r>
        <w:rPr>
          <w:rFonts w:eastAsiaTheme="minorEastAsia"/>
          <w:sz w:val="21"/>
          <w:szCs w:val="21"/>
          <w:lang w:eastAsia="zh-CN"/>
        </w:rPr>
        <w:t>/</w:t>
      </w:r>
      <w:r>
        <w:rPr>
          <w:rFonts w:hint="eastAsia" w:eastAsiaTheme="minorEastAsia"/>
          <w:sz w:val="21"/>
          <w:szCs w:val="21"/>
          <w:lang w:eastAsia="zh-CN"/>
        </w:rPr>
        <w:t>实验</w:t>
      </w:r>
      <w:r>
        <w:rPr>
          <w:rFonts w:eastAsiaTheme="minorEastAsia"/>
          <w:sz w:val="21"/>
          <w:szCs w:val="21"/>
          <w:lang w:eastAsia="zh-CN"/>
        </w:rPr>
        <w:t>/</w:t>
      </w:r>
      <w:r>
        <w:rPr>
          <w:rFonts w:hint="eastAsia" w:eastAsiaTheme="minorEastAsia"/>
          <w:sz w:val="21"/>
          <w:szCs w:val="21"/>
          <w:lang w:eastAsia="zh-CN"/>
        </w:rPr>
        <w:t>实训</w:t>
      </w:r>
    </w:p>
    <w:p>
      <w:pPr>
        <w:rPr>
          <w:rFonts w:eastAsiaTheme="minorEastAsia"/>
          <w:sz w:val="21"/>
          <w:szCs w:val="21"/>
          <w:lang w:eastAsia="zh-CN"/>
        </w:rPr>
      </w:pPr>
      <w:r>
        <w:rPr>
          <w:rFonts w:eastAsiaTheme="minorEastAsia"/>
          <w:sz w:val="21"/>
          <w:szCs w:val="21"/>
          <w:lang w:eastAsia="zh-CN"/>
        </w:rPr>
        <w:t xml:space="preserve">    4</w:t>
      </w:r>
      <w:r>
        <w:rPr>
          <w:rFonts w:hint="eastAsia" w:eastAsiaTheme="minorEastAsia"/>
          <w:sz w:val="21"/>
          <w:szCs w:val="21"/>
          <w:lang w:eastAsia="zh-CN"/>
        </w:rPr>
        <w:t>、若课程无理论教学环节或无实践教学环节，可将相应的教学进度表删掉。</w:t>
      </w:r>
    </w:p>
    <w:sectPr>
      <w:footerReference r:id="rId3" w:type="default"/>
      <w:pgSz w:w="11906" w:h="16838"/>
      <w:pgMar w:top="1440" w:right="1134" w:bottom="1440"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313"/>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5C39"/>
    <w:multiLevelType w:val="singleLevel"/>
    <w:tmpl w:val="58475C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C23799B"/>
    <w:rsid w:val="00002F6D"/>
    <w:rsid w:val="00010F5C"/>
    <w:rsid w:val="00021F52"/>
    <w:rsid w:val="00045D92"/>
    <w:rsid w:val="00065CC8"/>
    <w:rsid w:val="0006698D"/>
    <w:rsid w:val="00071662"/>
    <w:rsid w:val="000764DB"/>
    <w:rsid w:val="00082BC6"/>
    <w:rsid w:val="000831DC"/>
    <w:rsid w:val="00087B74"/>
    <w:rsid w:val="000B626E"/>
    <w:rsid w:val="000E0AE8"/>
    <w:rsid w:val="000E445B"/>
    <w:rsid w:val="00114239"/>
    <w:rsid w:val="00134DF6"/>
    <w:rsid w:val="00147D7B"/>
    <w:rsid w:val="00155E5A"/>
    <w:rsid w:val="0016283B"/>
    <w:rsid w:val="00171228"/>
    <w:rsid w:val="0017625B"/>
    <w:rsid w:val="0019144C"/>
    <w:rsid w:val="001B31E9"/>
    <w:rsid w:val="001D1498"/>
    <w:rsid w:val="001D28E8"/>
    <w:rsid w:val="001D3B6E"/>
    <w:rsid w:val="001D7519"/>
    <w:rsid w:val="001F13A6"/>
    <w:rsid w:val="001F20BC"/>
    <w:rsid w:val="00200F50"/>
    <w:rsid w:val="00227119"/>
    <w:rsid w:val="00243979"/>
    <w:rsid w:val="00266C0F"/>
    <w:rsid w:val="00282306"/>
    <w:rsid w:val="00297F08"/>
    <w:rsid w:val="002A4810"/>
    <w:rsid w:val="002A61FA"/>
    <w:rsid w:val="002B0E43"/>
    <w:rsid w:val="002B642F"/>
    <w:rsid w:val="002E13FC"/>
    <w:rsid w:val="002E27E1"/>
    <w:rsid w:val="002F0BB7"/>
    <w:rsid w:val="002F267A"/>
    <w:rsid w:val="002F5205"/>
    <w:rsid w:val="002F5263"/>
    <w:rsid w:val="00302F40"/>
    <w:rsid w:val="003036F3"/>
    <w:rsid w:val="003044FA"/>
    <w:rsid w:val="00312267"/>
    <w:rsid w:val="00337A99"/>
    <w:rsid w:val="0035276D"/>
    <w:rsid w:val="0036063C"/>
    <w:rsid w:val="0036612D"/>
    <w:rsid w:val="0037561C"/>
    <w:rsid w:val="003C66D8"/>
    <w:rsid w:val="003C6DC3"/>
    <w:rsid w:val="003E66A6"/>
    <w:rsid w:val="003F716D"/>
    <w:rsid w:val="00430C30"/>
    <w:rsid w:val="00433A5B"/>
    <w:rsid w:val="00457E42"/>
    <w:rsid w:val="00464F0F"/>
    <w:rsid w:val="00476184"/>
    <w:rsid w:val="0047658C"/>
    <w:rsid w:val="004960C9"/>
    <w:rsid w:val="00497F95"/>
    <w:rsid w:val="004B3994"/>
    <w:rsid w:val="004E0481"/>
    <w:rsid w:val="004E7804"/>
    <w:rsid w:val="005153F0"/>
    <w:rsid w:val="0052008D"/>
    <w:rsid w:val="00547D6C"/>
    <w:rsid w:val="00552DB5"/>
    <w:rsid w:val="005554F9"/>
    <w:rsid w:val="005639AB"/>
    <w:rsid w:val="00567504"/>
    <w:rsid w:val="0057538A"/>
    <w:rsid w:val="00596804"/>
    <w:rsid w:val="005A03F4"/>
    <w:rsid w:val="005A6188"/>
    <w:rsid w:val="005B1D43"/>
    <w:rsid w:val="005C5EE5"/>
    <w:rsid w:val="005E0E9A"/>
    <w:rsid w:val="005F174F"/>
    <w:rsid w:val="006026E2"/>
    <w:rsid w:val="00602B28"/>
    <w:rsid w:val="006111D6"/>
    <w:rsid w:val="00611F81"/>
    <w:rsid w:val="00614C7D"/>
    <w:rsid w:val="00652EFE"/>
    <w:rsid w:val="0065651C"/>
    <w:rsid w:val="00666338"/>
    <w:rsid w:val="0067636F"/>
    <w:rsid w:val="006A43FD"/>
    <w:rsid w:val="006A60D1"/>
    <w:rsid w:val="006A760D"/>
    <w:rsid w:val="006C3BA7"/>
    <w:rsid w:val="006C759E"/>
    <w:rsid w:val="006D3634"/>
    <w:rsid w:val="006E7FB2"/>
    <w:rsid w:val="007208B5"/>
    <w:rsid w:val="00727D11"/>
    <w:rsid w:val="007351CB"/>
    <w:rsid w:val="00735FDE"/>
    <w:rsid w:val="007611F6"/>
    <w:rsid w:val="00770F0D"/>
    <w:rsid w:val="00774814"/>
    <w:rsid w:val="00776AF2"/>
    <w:rsid w:val="00785779"/>
    <w:rsid w:val="007B0CBB"/>
    <w:rsid w:val="007B6499"/>
    <w:rsid w:val="007C3579"/>
    <w:rsid w:val="007C71A5"/>
    <w:rsid w:val="007D6462"/>
    <w:rsid w:val="007F3FDC"/>
    <w:rsid w:val="0080225A"/>
    <w:rsid w:val="008147FF"/>
    <w:rsid w:val="00815F78"/>
    <w:rsid w:val="008224E7"/>
    <w:rsid w:val="00837AF3"/>
    <w:rsid w:val="008512DF"/>
    <w:rsid w:val="00851B7C"/>
    <w:rsid w:val="00855020"/>
    <w:rsid w:val="00860DC8"/>
    <w:rsid w:val="0086136F"/>
    <w:rsid w:val="0086402C"/>
    <w:rsid w:val="00871D43"/>
    <w:rsid w:val="008827AB"/>
    <w:rsid w:val="00883663"/>
    <w:rsid w:val="00885EED"/>
    <w:rsid w:val="00892ADC"/>
    <w:rsid w:val="00896971"/>
    <w:rsid w:val="008A58C5"/>
    <w:rsid w:val="008D0607"/>
    <w:rsid w:val="008F151D"/>
    <w:rsid w:val="008F2AA2"/>
    <w:rsid w:val="0090681F"/>
    <w:rsid w:val="00910A12"/>
    <w:rsid w:val="00917C66"/>
    <w:rsid w:val="00934268"/>
    <w:rsid w:val="00934830"/>
    <w:rsid w:val="009A2B5C"/>
    <w:rsid w:val="009B3EAE"/>
    <w:rsid w:val="009B5333"/>
    <w:rsid w:val="009B5723"/>
    <w:rsid w:val="009C62FB"/>
    <w:rsid w:val="009C672F"/>
    <w:rsid w:val="009D3079"/>
    <w:rsid w:val="009E12C6"/>
    <w:rsid w:val="009E29E2"/>
    <w:rsid w:val="009F4682"/>
    <w:rsid w:val="00A26A3F"/>
    <w:rsid w:val="00A35D7E"/>
    <w:rsid w:val="00A44EA2"/>
    <w:rsid w:val="00A51DF0"/>
    <w:rsid w:val="00A75A06"/>
    <w:rsid w:val="00A84D68"/>
    <w:rsid w:val="00A85774"/>
    <w:rsid w:val="00AA199F"/>
    <w:rsid w:val="00AA25C3"/>
    <w:rsid w:val="00AB255C"/>
    <w:rsid w:val="00AE22E5"/>
    <w:rsid w:val="00AE3FB4"/>
    <w:rsid w:val="00AE48DD"/>
    <w:rsid w:val="00B01945"/>
    <w:rsid w:val="00B044B8"/>
    <w:rsid w:val="00B136C5"/>
    <w:rsid w:val="00B15BD6"/>
    <w:rsid w:val="00B34798"/>
    <w:rsid w:val="00B41ABD"/>
    <w:rsid w:val="00B41DEC"/>
    <w:rsid w:val="00B62177"/>
    <w:rsid w:val="00B65A5F"/>
    <w:rsid w:val="00B769B1"/>
    <w:rsid w:val="00B81CE3"/>
    <w:rsid w:val="00BB03AE"/>
    <w:rsid w:val="00BB35F5"/>
    <w:rsid w:val="00BB3963"/>
    <w:rsid w:val="00BC31D0"/>
    <w:rsid w:val="00BC5E15"/>
    <w:rsid w:val="00BE3BD7"/>
    <w:rsid w:val="00BE4FDE"/>
    <w:rsid w:val="00BF47B5"/>
    <w:rsid w:val="00C41D05"/>
    <w:rsid w:val="00C55197"/>
    <w:rsid w:val="00C645C5"/>
    <w:rsid w:val="00C705DD"/>
    <w:rsid w:val="00C76FA2"/>
    <w:rsid w:val="00C8577C"/>
    <w:rsid w:val="00CA1AB8"/>
    <w:rsid w:val="00CA2F6E"/>
    <w:rsid w:val="00CC4A46"/>
    <w:rsid w:val="00CD2F8F"/>
    <w:rsid w:val="00CE1412"/>
    <w:rsid w:val="00CE3CB0"/>
    <w:rsid w:val="00CF1A54"/>
    <w:rsid w:val="00D004F9"/>
    <w:rsid w:val="00D1037E"/>
    <w:rsid w:val="00D12618"/>
    <w:rsid w:val="00D14B96"/>
    <w:rsid w:val="00D23279"/>
    <w:rsid w:val="00D4020D"/>
    <w:rsid w:val="00D403C4"/>
    <w:rsid w:val="00D45246"/>
    <w:rsid w:val="00D63043"/>
    <w:rsid w:val="00D75997"/>
    <w:rsid w:val="00D81429"/>
    <w:rsid w:val="00D856EA"/>
    <w:rsid w:val="00DA5F99"/>
    <w:rsid w:val="00DB45CF"/>
    <w:rsid w:val="00DB5724"/>
    <w:rsid w:val="00DB75FE"/>
    <w:rsid w:val="00DC1004"/>
    <w:rsid w:val="00DC6114"/>
    <w:rsid w:val="00DD33BF"/>
    <w:rsid w:val="00DE0A75"/>
    <w:rsid w:val="00DF5C03"/>
    <w:rsid w:val="00DF6AAE"/>
    <w:rsid w:val="00E01959"/>
    <w:rsid w:val="00E0505F"/>
    <w:rsid w:val="00E413E8"/>
    <w:rsid w:val="00E53E23"/>
    <w:rsid w:val="00E95122"/>
    <w:rsid w:val="00E9632B"/>
    <w:rsid w:val="00EC29E9"/>
    <w:rsid w:val="00EC4E95"/>
    <w:rsid w:val="00ED3FCA"/>
    <w:rsid w:val="00F07DF5"/>
    <w:rsid w:val="00F31667"/>
    <w:rsid w:val="00F3307E"/>
    <w:rsid w:val="00F34E19"/>
    <w:rsid w:val="00F41C8A"/>
    <w:rsid w:val="00F5119F"/>
    <w:rsid w:val="00F617C2"/>
    <w:rsid w:val="00F90591"/>
    <w:rsid w:val="00F921E6"/>
    <w:rsid w:val="00F96D96"/>
    <w:rsid w:val="00FA46DB"/>
    <w:rsid w:val="00FA47E5"/>
    <w:rsid w:val="00FD1F35"/>
    <w:rsid w:val="00FD5718"/>
    <w:rsid w:val="00FE0F5B"/>
    <w:rsid w:val="00FE1100"/>
    <w:rsid w:val="00FE11A1"/>
    <w:rsid w:val="00FE22C8"/>
    <w:rsid w:val="00FF67A3"/>
    <w:rsid w:val="071F7647"/>
    <w:rsid w:val="28AD1D92"/>
    <w:rsid w:val="2C23799B"/>
    <w:rsid w:val="62602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pPr>
      <w:spacing w:after="0"/>
    </w:pPr>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22"/>
    <w:rPr>
      <w:b/>
      <w:bCs/>
    </w:rPr>
  </w:style>
  <w:style w:type="paragraph" w:customStyle="1" w:styleId="9">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0">
    <w:name w:val="fontstyle01"/>
    <w:basedOn w:val="7"/>
    <w:uiPriority w:val="0"/>
    <w:rPr>
      <w:rFonts w:ascii="CIDFont + F2" w:hAnsi="CIDFont + F2" w:eastAsia="CIDFont + F2" w:cs="CIDFont + F2"/>
      <w:color w:val="000000"/>
      <w:sz w:val="20"/>
      <w:szCs w:val="20"/>
    </w:rPr>
  </w:style>
  <w:style w:type="character" w:customStyle="1" w:styleId="11">
    <w:name w:val="页眉 Char"/>
    <w:basedOn w:val="7"/>
    <w:link w:val="4"/>
    <w:uiPriority w:val="0"/>
    <w:rPr>
      <w:rFonts w:eastAsia="PMingLiU"/>
      <w:sz w:val="18"/>
      <w:szCs w:val="18"/>
      <w:lang w:eastAsia="en-US"/>
    </w:rPr>
  </w:style>
  <w:style w:type="character" w:customStyle="1" w:styleId="12">
    <w:name w:val="页脚 Char"/>
    <w:basedOn w:val="7"/>
    <w:link w:val="3"/>
    <w:uiPriority w:val="99"/>
    <w:rPr>
      <w:rFonts w:eastAsia="PMingLiU"/>
      <w:sz w:val="18"/>
      <w:szCs w:val="18"/>
      <w:lang w:eastAsia="en-US"/>
    </w:rPr>
  </w:style>
  <w:style w:type="paragraph" w:styleId="13">
    <w:name w:val="List Paragraph"/>
    <w:basedOn w:val="1"/>
    <w:unhideWhenUsed/>
    <w:qFormat/>
    <w:uiPriority w:val="34"/>
    <w:pPr>
      <w:ind w:firstLine="420" w:firstLineChars="200"/>
    </w:pPr>
  </w:style>
  <w:style w:type="character" w:customStyle="1" w:styleId="14">
    <w:name w:val="批注框文本 Char"/>
    <w:basedOn w:val="7"/>
    <w:link w:val="2"/>
    <w:qFormat/>
    <w:uiPriority w:val="0"/>
    <w:rPr>
      <w:rFonts w:eastAsia="PMingLiU"/>
      <w:sz w:val="18"/>
      <w:szCs w:val="18"/>
      <w:lang w:eastAsia="en-US"/>
    </w:rPr>
  </w:style>
  <w:style w:type="character" w:customStyle="1" w:styleId="15">
    <w:name w:val="st"/>
    <w:basedOn w:val="7"/>
    <w:qFormat/>
    <w:uiPriority w:val="0"/>
  </w:style>
  <w:style w:type="character" w:customStyle="1" w:styleId="16">
    <w:name w:val="e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483FE-281E-407C-B6E2-D449E2102F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672</Words>
  <Characters>3831</Characters>
  <Lines>31</Lines>
  <Paragraphs>8</Paragraphs>
  <TotalTime>0</TotalTime>
  <ScaleCrop>false</ScaleCrop>
  <LinksUpToDate>false</LinksUpToDate>
  <CharactersWithSpaces>4495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2019-09-16T00:59:00Z</dcterms:created>
  <dc:creator>lenovo</dc:creator>
  <cp:lastModifiedBy>落情湖</cp:lastModifiedBy>
  <cp:lastPrinted>2018-03-26T04:18:00Z</cp:lastPrinted>
  <dcterms:modified xsi:type="dcterms:W3CDTF">2019-09-27T03:32:28Z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