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《</w:t>
      </w:r>
      <w:r>
        <w:rPr>
          <w:rFonts w:hint="eastAsia" w:ascii="Arial" w:hAnsi="Arial" w:eastAsia="宋体" w:cs="Arial"/>
          <w:b/>
          <w:sz w:val="32"/>
          <w:szCs w:val="32"/>
          <w:lang w:eastAsia="zh-CN"/>
        </w:rPr>
        <w:t>工程数学</w:t>
      </w:r>
      <w:r>
        <w:rPr>
          <w:rFonts w:hint="eastAsia" w:eastAsia="宋体"/>
          <w:b/>
          <w:sz w:val="32"/>
          <w:szCs w:val="32"/>
          <w:lang w:eastAsia="zh-CN"/>
        </w:rPr>
        <w:t>》课程教学大纲</w:t>
      </w:r>
    </w:p>
    <w:tbl>
      <w:tblPr>
        <w:tblStyle w:val="21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61"/>
        <w:gridCol w:w="398"/>
        <w:gridCol w:w="567"/>
        <w:gridCol w:w="1687"/>
        <w:gridCol w:w="440"/>
        <w:gridCol w:w="2537"/>
        <w:gridCol w:w="1112"/>
        <w:gridCol w:w="6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工程数学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课程英文名称：</w:t>
            </w:r>
            <w:r>
              <w:rPr>
                <w:rFonts w:eastAsia="微软雅黑"/>
                <w:color w:val="000000"/>
                <w:sz w:val="21"/>
                <w:szCs w:val="21"/>
                <w:shd w:val="clear" w:color="auto" w:fill="FFFFFF"/>
              </w:rPr>
              <w:t>Engineering Mathematics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总学时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周学时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学分：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48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/>
                <w:sz w:val="21"/>
                <w:szCs w:val="21"/>
                <w:lang w:eastAsia="zh-CN"/>
              </w:rPr>
              <w:t>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高等数学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宋体"/>
                <w:sz w:val="21"/>
                <w:szCs w:val="21"/>
                <w:lang w:eastAsia="zh-CN"/>
              </w:rPr>
              <w:t>1-16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3节</w:t>
            </w:r>
          </w:p>
        </w:tc>
        <w:tc>
          <w:tcPr>
            <w:tcW w:w="4742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/>
                <w:sz w:val="21"/>
                <w:szCs w:val="21"/>
                <w:lang w:eastAsia="zh-CN"/>
              </w:rPr>
              <w:t>2018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自动化系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二年级本科生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粤台产业科技学院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庄智颖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每次课的课前、课间和课后，采用一对一的问答方式；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每次习题课，采用集中讲解方式。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ascii="Segoe UI Symbol" w:hAnsi="Segoe UI Symbol" w:eastAsia="MS Mincho" w:cs="Segoe UI Symbol"/>
                <w:b/>
                <w:sz w:val="21"/>
                <w:szCs w:val="21"/>
                <w:lang w:eastAsia="zh-CN"/>
              </w:rPr>
              <w:t>✔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常微分方程及其应用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》，周义仓等编，科学出版社，</w:t>
            </w:r>
            <w:r>
              <w:rPr>
                <w:rFonts w:eastAsia="宋体"/>
                <w:sz w:val="21"/>
                <w:szCs w:val="21"/>
                <w:lang w:eastAsia="zh-CN"/>
              </w:rPr>
              <w:t>2018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，第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版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工程数学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》，周忠荣等编，化学工业出版社，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09，第1版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本课程之教学目标在于清楚并简洁地介绍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工程数学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的主要观念。讲授的内容含括：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微分方程式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简介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一阶常微分方程式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高阶线性微分方程式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微分方程式的级数解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拉普拉斯变换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傅立叶级数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与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变换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。此外，课程中将搭配应用实例，协助学生更具体了解上述课题的几何及物理意义。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5099" w:type="dxa"/>
            <w:gridSpan w:val="6"/>
          </w:tcPr>
          <w:p>
            <w:pPr>
              <w:tabs>
                <w:tab w:val="left" w:pos="1440"/>
              </w:tabs>
              <w:spacing w:after="0" w:line="360" w:lineRule="exact"/>
              <w:ind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、理解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微分方程式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的分类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，对于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一阶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二阶常微分方程式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的求解，能有完整的了解。</w:t>
            </w:r>
          </w:p>
          <w:p>
            <w:pPr>
              <w:spacing w:after="0" w:line="360" w:lineRule="exact"/>
              <w:ind w:firstLine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、对于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拉普拉斯变换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的意义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与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求解方法，具有一定程度的理解。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、了解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傅立叶级数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的定义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，对于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傅立叶变换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的计算与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求解，能够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掌握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基本方法。</w:t>
            </w:r>
          </w:p>
        </w:tc>
        <w:tc>
          <w:tcPr>
            <w:tcW w:w="4302" w:type="dxa"/>
            <w:gridSpan w:val="3"/>
          </w:tcPr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掌握从事自动化领域所需数学和基础科学知识；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对自动化系统或产品的技术进行分析、解释相关数据及独立设计的能力；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掌握自动化专业中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信息、控制和系统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的基本原理及应用方法，了解自动化领域的前沿和发展动态；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具有创新意识和自动化新产品、新设备进行开发和设计的能力；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5.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项目管理、有效沟通协调、团队合作及创新能力；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发掘、分析与解决复杂自动化工程问题的能力；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ascii="Arial" w:hAnsi="Arial" w:eastAsia="宋体" w:cs="Arial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认识科技发展现状与趋势，了解工程技术对环境、社会及全球的影响，并培养终身学习的习惯与能力；</w:t>
            </w:r>
          </w:p>
          <w:p>
            <w:pPr>
              <w:tabs>
                <w:tab w:val="left" w:pos="1440"/>
              </w:tabs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理解职业道德、专业伦理与认知社会责任的能力。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教学主题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教学时长</w:t>
            </w:r>
          </w:p>
        </w:tc>
        <w:tc>
          <w:tcPr>
            <w:tcW w:w="466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教学的重点与难点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、课程思政融入点</w:t>
            </w:r>
          </w:p>
        </w:tc>
        <w:tc>
          <w:tcPr>
            <w:tcW w:w="1112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65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微分方程式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简介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微分方程式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简介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微分方程式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的类型区分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介绍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工程数学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的演变过程，历代伟人的巨大贡献，培养学生的爱国精神。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3-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常微分方程式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一阶常微分方程式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二阶常微分方程式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常微分方程式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的解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法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与计算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7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-8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线性微分方程式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高阶线性微分方程式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微分方程式的级数解</w:t>
            </w:r>
          </w:p>
          <w:p>
            <w:pPr>
              <w:spacing w:line="360" w:lineRule="exact"/>
              <w:rPr>
                <w:rFonts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高阶线性微分方程式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与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级数解的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求解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计算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567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spacing w:after="0"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期中考</w:t>
            </w:r>
          </w:p>
        </w:tc>
        <w:tc>
          <w:tcPr>
            <w:tcW w:w="1112" w:type="dxa"/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653" w:type="dxa"/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0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-13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拉普拉斯变换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6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拉普拉斯变换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的认知与计算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拉普拉斯变换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的计算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培养学生认真细致、一丝不苟的工作作风。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14-15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傅立叶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变换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重点：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傅立叶级数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傅立叶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变换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难点：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傅立叶级数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的认知与</w:t>
            </w:r>
            <w:r>
              <w:rPr>
                <w:rFonts w:hint="eastAsia" w:cs="Arial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傅立叶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变换的计算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课程思政融入点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培养学生精益求精的工匠精神。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复习、答疑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复习、答疑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  <w:lang w:eastAsia="zh-TW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46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评价标准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出勤状况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评价标准：不迟到，请假须有辅导员签字的请假条。</w:t>
            </w:r>
          </w:p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要求：无故旷课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次扣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分，迟到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次扣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分，缺席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次取消参加期末考试的资格。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评价标准：参与课堂程度及随堂测验。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要求：精神饱满，参与课堂程度高。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</w:t>
            </w:r>
            <w:r>
              <w:rPr>
                <w:rFonts w:eastAsia="宋体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评价标准：按照作业完成情况评分。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要求：按时作业，作业工整规范。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期中考试</w:t>
            </w:r>
          </w:p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要求：能灵活运用所学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工程数学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知识和方法进行求解，独立、按时完成考试。若发现任何考试作弊行为，试卷一律按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</w:t>
            </w:r>
          </w:p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（闭卷考试）</w:t>
            </w:r>
          </w:p>
        </w:tc>
        <w:tc>
          <w:tcPr>
            <w:tcW w:w="5629" w:type="dxa"/>
            <w:gridSpan w:val="5"/>
            <w:vAlign w:val="center"/>
          </w:tcPr>
          <w:p>
            <w:pPr>
              <w:spacing w:after="0" w:line="360" w:lineRule="exact"/>
              <w:jc w:val="lef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评价标准：按照试卷参考解答及评分标准给分。</w:t>
            </w: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要求：能灵活运用所学</w:t>
            </w:r>
            <w:r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  <w:t>工程数学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知识和方法进行求解，独立、按时完成考试。若发现任何考试作弊行为，试卷一律按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分处理。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after="0" w:line="360" w:lineRule="exact"/>
              <w:ind w:left="18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9"/>
            <w:vAlign w:val="center"/>
          </w:tcPr>
          <w:p>
            <w:pPr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宋体"/>
                <w:sz w:val="21"/>
                <w:szCs w:val="21"/>
                <w:lang w:eastAsia="zh-CN"/>
              </w:rPr>
              <w:t>2019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9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b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1804035</wp:posOffset>
                  </wp:positionH>
                  <wp:positionV relativeFrom="paragraph">
                    <wp:posOffset>97155</wp:posOffset>
                  </wp:positionV>
                  <wp:extent cx="1749425" cy="755650"/>
                  <wp:effectExtent l="0" t="0" r="3175" b="6350"/>
                  <wp:wrapNone/>
                  <wp:docPr id="1" name="图片 1" descr="林明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林明灶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42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               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日</w:t>
            </w:r>
          </w:p>
          <w:p>
            <w:pPr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360" w:lineRule="exact"/>
        <w:ind w:left="738" w:hanging="738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61F27"/>
    <w:rsid w:val="0006698D"/>
    <w:rsid w:val="00087B74"/>
    <w:rsid w:val="00096BBB"/>
    <w:rsid w:val="000B626E"/>
    <w:rsid w:val="000C2D4A"/>
    <w:rsid w:val="000D1589"/>
    <w:rsid w:val="000E0AE8"/>
    <w:rsid w:val="00112FD8"/>
    <w:rsid w:val="00113022"/>
    <w:rsid w:val="00155E5A"/>
    <w:rsid w:val="00171228"/>
    <w:rsid w:val="001A6767"/>
    <w:rsid w:val="001B2F66"/>
    <w:rsid w:val="001B31E9"/>
    <w:rsid w:val="001D28E8"/>
    <w:rsid w:val="001F20BC"/>
    <w:rsid w:val="001F3ABD"/>
    <w:rsid w:val="002111AE"/>
    <w:rsid w:val="00220A45"/>
    <w:rsid w:val="00221B5F"/>
    <w:rsid w:val="00227119"/>
    <w:rsid w:val="00291611"/>
    <w:rsid w:val="00295970"/>
    <w:rsid w:val="002A1ECF"/>
    <w:rsid w:val="002A251B"/>
    <w:rsid w:val="002C0D8F"/>
    <w:rsid w:val="002C5283"/>
    <w:rsid w:val="002E27E1"/>
    <w:rsid w:val="003044FA"/>
    <w:rsid w:val="00317419"/>
    <w:rsid w:val="0034604E"/>
    <w:rsid w:val="0037396C"/>
    <w:rsid w:val="0037561C"/>
    <w:rsid w:val="00395E8F"/>
    <w:rsid w:val="0039700C"/>
    <w:rsid w:val="003A013B"/>
    <w:rsid w:val="003A0A25"/>
    <w:rsid w:val="003C1ABB"/>
    <w:rsid w:val="003C66D8"/>
    <w:rsid w:val="003E212B"/>
    <w:rsid w:val="003E2BAB"/>
    <w:rsid w:val="003E66A6"/>
    <w:rsid w:val="00411BBB"/>
    <w:rsid w:val="00414FC8"/>
    <w:rsid w:val="0044230A"/>
    <w:rsid w:val="00457E42"/>
    <w:rsid w:val="004923D1"/>
    <w:rsid w:val="004B3994"/>
    <w:rsid w:val="004B70EC"/>
    <w:rsid w:val="004D29DE"/>
    <w:rsid w:val="004D6B0F"/>
    <w:rsid w:val="004E0481"/>
    <w:rsid w:val="004E7804"/>
    <w:rsid w:val="00516148"/>
    <w:rsid w:val="00525B98"/>
    <w:rsid w:val="005639AB"/>
    <w:rsid w:val="00574564"/>
    <w:rsid w:val="005805E8"/>
    <w:rsid w:val="005911D3"/>
    <w:rsid w:val="005F174F"/>
    <w:rsid w:val="005F77F9"/>
    <w:rsid w:val="00631FA7"/>
    <w:rsid w:val="0063410F"/>
    <w:rsid w:val="0065651C"/>
    <w:rsid w:val="00690B98"/>
    <w:rsid w:val="00735FDE"/>
    <w:rsid w:val="00770F0D"/>
    <w:rsid w:val="00776AF2"/>
    <w:rsid w:val="00785779"/>
    <w:rsid w:val="00792DA6"/>
    <w:rsid w:val="007A154B"/>
    <w:rsid w:val="007D4A5A"/>
    <w:rsid w:val="007E40F4"/>
    <w:rsid w:val="00807633"/>
    <w:rsid w:val="008147FF"/>
    <w:rsid w:val="00815F78"/>
    <w:rsid w:val="008512DF"/>
    <w:rsid w:val="00855020"/>
    <w:rsid w:val="0088533F"/>
    <w:rsid w:val="00885EED"/>
    <w:rsid w:val="00892ADC"/>
    <w:rsid w:val="00896971"/>
    <w:rsid w:val="008B4200"/>
    <w:rsid w:val="008D2EC1"/>
    <w:rsid w:val="008F6642"/>
    <w:rsid w:val="009039A7"/>
    <w:rsid w:val="00907E3A"/>
    <w:rsid w:val="00917C66"/>
    <w:rsid w:val="009277B5"/>
    <w:rsid w:val="00930C61"/>
    <w:rsid w:val="009320FC"/>
    <w:rsid w:val="009349EE"/>
    <w:rsid w:val="00963101"/>
    <w:rsid w:val="009A2B5C"/>
    <w:rsid w:val="009B3EAE"/>
    <w:rsid w:val="009C3354"/>
    <w:rsid w:val="009D153B"/>
    <w:rsid w:val="009D3079"/>
    <w:rsid w:val="009D4C38"/>
    <w:rsid w:val="009F7907"/>
    <w:rsid w:val="00A41C45"/>
    <w:rsid w:val="00A66361"/>
    <w:rsid w:val="00A84D68"/>
    <w:rsid w:val="00A85774"/>
    <w:rsid w:val="00AA199F"/>
    <w:rsid w:val="00AB00C2"/>
    <w:rsid w:val="00AB4E0B"/>
    <w:rsid w:val="00AD559C"/>
    <w:rsid w:val="00AE48DD"/>
    <w:rsid w:val="00AF342D"/>
    <w:rsid w:val="00B05FEC"/>
    <w:rsid w:val="00B15CFE"/>
    <w:rsid w:val="00B82E41"/>
    <w:rsid w:val="00B86A99"/>
    <w:rsid w:val="00BB1E0E"/>
    <w:rsid w:val="00BB35F5"/>
    <w:rsid w:val="00C06D81"/>
    <w:rsid w:val="00C15365"/>
    <w:rsid w:val="00C2206B"/>
    <w:rsid w:val="00C41D05"/>
    <w:rsid w:val="00C479CB"/>
    <w:rsid w:val="00C5574A"/>
    <w:rsid w:val="00C705DD"/>
    <w:rsid w:val="00C76FA2"/>
    <w:rsid w:val="00C93141"/>
    <w:rsid w:val="00CA1AB8"/>
    <w:rsid w:val="00CC4A46"/>
    <w:rsid w:val="00CD2F8F"/>
    <w:rsid w:val="00CE5C11"/>
    <w:rsid w:val="00CE6A7D"/>
    <w:rsid w:val="00D268B2"/>
    <w:rsid w:val="00D33A3E"/>
    <w:rsid w:val="00D45246"/>
    <w:rsid w:val="00D62B41"/>
    <w:rsid w:val="00D757ED"/>
    <w:rsid w:val="00D8194A"/>
    <w:rsid w:val="00DB45CF"/>
    <w:rsid w:val="00DB5724"/>
    <w:rsid w:val="00DD7E75"/>
    <w:rsid w:val="00DF37F5"/>
    <w:rsid w:val="00DF5C03"/>
    <w:rsid w:val="00DF696D"/>
    <w:rsid w:val="00E0505F"/>
    <w:rsid w:val="00E413E8"/>
    <w:rsid w:val="00E53E23"/>
    <w:rsid w:val="00E73B4D"/>
    <w:rsid w:val="00E73F9A"/>
    <w:rsid w:val="00E74E98"/>
    <w:rsid w:val="00E8288B"/>
    <w:rsid w:val="00EB41B6"/>
    <w:rsid w:val="00EC2295"/>
    <w:rsid w:val="00ED3FCA"/>
    <w:rsid w:val="00F31667"/>
    <w:rsid w:val="00F36D6A"/>
    <w:rsid w:val="00F6005B"/>
    <w:rsid w:val="00F617C2"/>
    <w:rsid w:val="00F96D96"/>
    <w:rsid w:val="00FA0724"/>
    <w:rsid w:val="00FA3123"/>
    <w:rsid w:val="00FE22C8"/>
    <w:rsid w:val="00FE7E45"/>
    <w:rsid w:val="058A13A9"/>
    <w:rsid w:val="28AD1D92"/>
    <w:rsid w:val="2C23799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semiHidden="0" w:name="envelope address"/>
    <w:lsdException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37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40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7">
    <w:name w:val="heading 6"/>
    <w:basedOn w:val="1"/>
    <w:next w:val="1"/>
    <w:link w:val="41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paragraph" w:styleId="8">
    <w:name w:val="heading 7"/>
    <w:basedOn w:val="1"/>
    <w:next w:val="1"/>
    <w:link w:val="42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43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44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unhideWhenUsed/>
    <w:uiPriority w:val="99"/>
    <w:pPr>
      <w:spacing w:after="0"/>
      <w:ind w:left="2880"/>
    </w:pPr>
    <w:rPr>
      <w:rFonts w:asciiTheme="majorHAnsi" w:hAnsiTheme="majorHAnsi" w:eastAsiaTheme="majorEastAsia" w:cstheme="majorBidi"/>
    </w:rPr>
  </w:style>
  <w:style w:type="paragraph" w:styleId="12">
    <w:name w:val="Plain Text"/>
    <w:basedOn w:val="1"/>
    <w:link w:val="58"/>
    <w:semiHidden/>
    <w:unhideWhenUsed/>
    <w:uiPriority w:val="99"/>
    <w:pPr>
      <w:spacing w:after="0"/>
    </w:pPr>
    <w:rPr>
      <w:rFonts w:ascii="Courier New" w:hAnsi="Courier New" w:cs="Courier New"/>
      <w:sz w:val="21"/>
      <w:szCs w:val="21"/>
    </w:rPr>
  </w:style>
  <w:style w:type="paragraph" w:styleId="13">
    <w:name w:val="endnote text"/>
    <w:basedOn w:val="1"/>
    <w:link w:val="57"/>
    <w:semiHidden/>
    <w:unhideWhenUsed/>
    <w:uiPriority w:val="99"/>
    <w:pPr>
      <w:spacing w:after="0"/>
    </w:pPr>
    <w:rPr>
      <w:sz w:val="20"/>
      <w:szCs w:val="20"/>
    </w:rPr>
  </w:style>
  <w:style w:type="paragraph" w:styleId="14">
    <w:name w:val="Balloon Text"/>
    <w:basedOn w:val="1"/>
    <w:link w:val="34"/>
    <w:uiPriority w:val="99"/>
    <w:pPr>
      <w:spacing w:after="0"/>
    </w:pPr>
    <w:rPr>
      <w:sz w:val="18"/>
      <w:szCs w:val="18"/>
    </w:rPr>
  </w:style>
  <w:style w:type="paragraph" w:styleId="15">
    <w:name w:val="footer"/>
    <w:basedOn w:val="1"/>
    <w:link w:val="32"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6">
    <w:name w:val="envelope return"/>
    <w:basedOn w:val="1"/>
    <w:unhideWhenUsed/>
    <w:uiPriority w:val="99"/>
    <w:pPr>
      <w:spacing w:after="0"/>
    </w:pPr>
    <w:rPr>
      <w:rFonts w:asciiTheme="majorHAnsi" w:hAnsiTheme="majorHAnsi" w:eastAsiaTheme="majorEastAsia" w:cstheme="majorBidi"/>
      <w:sz w:val="20"/>
    </w:rPr>
  </w:style>
  <w:style w:type="paragraph" w:styleId="17">
    <w:name w:val="header"/>
    <w:basedOn w:val="1"/>
    <w:link w:val="31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Subtitle"/>
    <w:basedOn w:val="1"/>
    <w:next w:val="1"/>
    <w:link w:val="46"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56"/>
    <w:semiHidden/>
    <w:unhideWhenUsed/>
    <w:uiPriority w:val="99"/>
    <w:pPr>
      <w:spacing w:after="0"/>
    </w:pPr>
    <w:rPr>
      <w:sz w:val="20"/>
      <w:szCs w:val="20"/>
    </w:rPr>
  </w:style>
  <w:style w:type="paragraph" w:styleId="20">
    <w:name w:val="Title"/>
    <w:basedOn w:val="1"/>
    <w:next w:val="1"/>
    <w:link w:val="45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table" w:styleId="22">
    <w:name w:val="Table Grid"/>
    <w:basedOn w:val="21"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endnote reference"/>
    <w:basedOn w:val="23"/>
    <w:semiHidden/>
    <w:unhideWhenUsed/>
    <w:uiPriority w:val="99"/>
    <w:rPr>
      <w:vertAlign w:val="superscript"/>
    </w:rPr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Hyperlink"/>
    <w:basedOn w:val="23"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footnote reference"/>
    <w:basedOn w:val="23"/>
    <w:semiHidden/>
    <w:unhideWhenUsed/>
    <w:uiPriority w:val="99"/>
    <w:rPr>
      <w:vertAlign w:val="superscript"/>
    </w:rPr>
  </w:style>
  <w:style w:type="paragraph" w:customStyle="1" w:styleId="29">
    <w:name w:val="列出段落1"/>
    <w:basedOn w:val="1"/>
    <w:qFormat/>
    <w:uiPriority w:val="34"/>
    <w:pPr>
      <w:spacing w:after="0"/>
      <w:ind w:left="480"/>
      <w:jc w:val="left"/>
    </w:pPr>
    <w:rPr>
      <w:rFonts w:ascii="Calibri" w:hAnsi="Calibri" w:eastAsia="DFKai-SB"/>
      <w:lang w:eastAsia="zh-TW"/>
    </w:rPr>
  </w:style>
  <w:style w:type="character" w:customStyle="1" w:styleId="30">
    <w:name w:val="Fontstyle01"/>
    <w:basedOn w:val="23"/>
    <w:uiPriority w:val="99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31">
    <w:name w:val="页眉 字符"/>
    <w:basedOn w:val="23"/>
    <w:link w:val="17"/>
    <w:uiPriority w:val="99"/>
    <w:rPr>
      <w:rFonts w:eastAsia="PMingLiU"/>
      <w:sz w:val="18"/>
      <w:szCs w:val="18"/>
      <w:lang w:eastAsia="en-US"/>
    </w:rPr>
  </w:style>
  <w:style w:type="character" w:customStyle="1" w:styleId="32">
    <w:name w:val="页脚 字符"/>
    <w:basedOn w:val="23"/>
    <w:link w:val="15"/>
    <w:uiPriority w:val="99"/>
    <w:rPr>
      <w:rFonts w:eastAsia="PMingLiU"/>
      <w:sz w:val="18"/>
      <w:szCs w:val="18"/>
      <w:lang w:eastAsia="en-US"/>
    </w:rPr>
  </w:style>
  <w:style w:type="paragraph" w:styleId="33">
    <w:name w:val="List Paragraph"/>
    <w:basedOn w:val="1"/>
    <w:unhideWhenUsed/>
    <w:qFormat/>
    <w:uiPriority w:val="34"/>
    <w:pPr>
      <w:ind w:firstLine="420"/>
    </w:pPr>
  </w:style>
  <w:style w:type="character" w:customStyle="1" w:styleId="34">
    <w:name w:val="批注框文本 字符"/>
    <w:basedOn w:val="23"/>
    <w:link w:val="14"/>
    <w:uiPriority w:val="99"/>
    <w:rPr>
      <w:rFonts w:eastAsia="PMingLiU"/>
      <w:sz w:val="18"/>
      <w:szCs w:val="18"/>
      <w:lang w:eastAsia="en-US"/>
    </w:rPr>
  </w:style>
  <w:style w:type="paragraph" w:styleId="35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36">
    <w:name w:val="标题 1 字符"/>
    <w:basedOn w:val="23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37">
    <w:name w:val="标题 2 字符"/>
    <w:basedOn w:val="23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8">
    <w:name w:val="标题 3 字符"/>
    <w:basedOn w:val="23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标题 4 字符"/>
    <w:basedOn w:val="23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0">
    <w:name w:val="标题 5 字符"/>
    <w:basedOn w:val="23"/>
    <w:link w:val="6"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41">
    <w:name w:val="标题 6 字符"/>
    <w:basedOn w:val="23"/>
    <w:link w:val="7"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customStyle="1" w:styleId="42">
    <w:name w:val="标题 7 字符"/>
    <w:basedOn w:val="23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3">
    <w:name w:val="标题 8 字符"/>
    <w:basedOn w:val="23"/>
    <w:link w:val="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4">
    <w:name w:val="标题 9 字符"/>
    <w:basedOn w:val="23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5">
    <w:name w:val="标题 字符"/>
    <w:basedOn w:val="23"/>
    <w:link w:val="20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sz w:val="52"/>
      <w:szCs w:val="52"/>
    </w:rPr>
  </w:style>
  <w:style w:type="character" w:customStyle="1" w:styleId="46">
    <w:name w:val="副标题 字符"/>
    <w:basedOn w:val="23"/>
    <w:link w:val="18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47">
    <w:name w:val="Subtle Emphasis"/>
    <w:basedOn w:val="2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Intense Emphasis"/>
    <w:basedOn w:val="23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49">
    <w:name w:val="Quote"/>
    <w:basedOn w:val="1"/>
    <w:next w:val="1"/>
    <w:link w:val="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0">
    <w:name w:val="引用 字符"/>
    <w:basedOn w:val="23"/>
    <w:link w:val="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51">
    <w:name w:val="Intense Quote"/>
    <w:basedOn w:val="1"/>
    <w:next w:val="1"/>
    <w:link w:val="52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2">
    <w:name w:val="明显引用 字符"/>
    <w:basedOn w:val="23"/>
    <w:link w:val="51"/>
    <w:uiPriority w:val="30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53">
    <w:name w:val="Subtle Reference"/>
    <w:basedOn w:val="23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54">
    <w:name w:val="Intense Reference"/>
    <w:basedOn w:val="23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55">
    <w:name w:val="Book Title"/>
    <w:basedOn w:val="23"/>
    <w:qFormat/>
    <w:uiPriority w:val="33"/>
    <w:rPr>
      <w:b/>
      <w:bCs/>
      <w:smallCaps/>
      <w:spacing w:val="5"/>
    </w:rPr>
  </w:style>
  <w:style w:type="character" w:customStyle="1" w:styleId="56">
    <w:name w:val="脚注文本 字符"/>
    <w:basedOn w:val="23"/>
    <w:link w:val="19"/>
    <w:semiHidden/>
    <w:uiPriority w:val="99"/>
    <w:rPr>
      <w:sz w:val="20"/>
      <w:szCs w:val="20"/>
    </w:rPr>
  </w:style>
  <w:style w:type="character" w:customStyle="1" w:styleId="57">
    <w:name w:val="尾注文本 字符"/>
    <w:basedOn w:val="23"/>
    <w:link w:val="13"/>
    <w:semiHidden/>
    <w:uiPriority w:val="99"/>
    <w:rPr>
      <w:sz w:val="20"/>
      <w:szCs w:val="20"/>
    </w:rPr>
  </w:style>
  <w:style w:type="character" w:customStyle="1" w:styleId="58">
    <w:name w:val="纯文本 字符"/>
    <w:basedOn w:val="23"/>
    <w:link w:val="12"/>
    <w:uiPriority w:val="99"/>
    <w:rPr>
      <w:rFonts w:ascii="Courier New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DEA183-45FB-4640-99BD-2CC6EAD7C7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298</Words>
  <Characters>1705</Characters>
  <Lines>14</Lines>
  <Paragraphs>3</Paragraphs>
  <TotalTime>0</TotalTime>
  <ScaleCrop>false</ScaleCrop>
  <LinksUpToDate>false</LinksUpToDate>
  <CharactersWithSpaces>2000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2019-06-13T07:55:00Z</dcterms:created>
  <dc:creator>lenovo</dc:creator>
  <cp:lastModifiedBy>落情湖</cp:lastModifiedBy>
  <dcterms:modified xsi:type="dcterms:W3CDTF">2019-09-27T03:13:30Z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